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Arial" w:hAnsi="Arial" w:cs="Arial"/>
        </w:rPr>
        <w:sectPr>
          <w:pgSz w:w="11900" w:h="16840"/>
          <w:pgMar w:top="1440" w:right="1797" w:bottom="1440" w:left="1797" w:header="567" w:footer="992" w:gutter="0"/>
          <w:pgNumType w:fmt="upperRoman" w:start="1"/>
          <w:cols w:space="720" w:num="1"/>
          <w:docGrid w:type="linesAndChars" w:linePitch="312" w:charSpace="0"/>
        </w:sectPr>
      </w:pPr>
      <w:r>
        <w:rPr>
          <w:rFonts w:ascii="Arial" w:hAnsi="Arial" w:cs="Arial"/>
        </w:rPr>
        <mc:AlternateContent>
          <mc:Choice Requires="wps">
            <w:drawing>
              <wp:anchor distT="0" distB="0" distL="114300" distR="114300" simplePos="0" relativeHeight="251683840" behindDoc="0" locked="0" layoutInCell="1" allowOverlap="1">
                <wp:simplePos x="0" y="0"/>
                <wp:positionH relativeFrom="column">
                  <wp:posOffset>-255270</wp:posOffset>
                </wp:positionH>
                <wp:positionV relativeFrom="paragraph">
                  <wp:posOffset>914400</wp:posOffset>
                </wp:positionV>
                <wp:extent cx="5359400" cy="533400"/>
                <wp:effectExtent l="0" t="0" r="12700" b="19050"/>
                <wp:wrapNone/>
                <wp:docPr id="15" name="Text Box 6"/>
                <wp:cNvGraphicFramePr/>
                <a:graphic xmlns:a="http://schemas.openxmlformats.org/drawingml/2006/main">
                  <a:graphicData uri="http://schemas.microsoft.com/office/word/2010/wordprocessingShape">
                    <wps:wsp>
                      <wps:cNvSpPr txBox="1">
                        <a:spLocks noChangeArrowheads="1"/>
                      </wps:cNvSpPr>
                      <wps:spPr bwMode="auto">
                        <a:xfrm>
                          <a:off x="0" y="0"/>
                          <a:ext cx="5359400" cy="533400"/>
                        </a:xfrm>
                        <a:prstGeom prst="rect">
                          <a:avLst/>
                        </a:prstGeom>
                        <a:solidFill>
                          <a:srgbClr val="FFFFFF"/>
                        </a:solidFill>
                        <a:ln w="9525">
                          <a:solidFill>
                            <a:schemeClr val="bg1">
                              <a:lumMod val="100000"/>
                              <a:lumOff val="0"/>
                            </a:schemeClr>
                          </a:solidFill>
                          <a:miter lim="800000"/>
                        </a:ln>
                      </wps:spPr>
                      <wps:txbx>
                        <w:txbxContent>
                          <w:p>
                            <w:pPr>
                              <w:spacing w:line="700" w:lineRule="exact"/>
                              <w:jc w:val="left"/>
                              <w:rPr>
                                <w:rFonts w:ascii="微软雅黑" w:hAnsi="微软雅黑" w:eastAsia="微软雅黑"/>
                                <w:b/>
                                <w:color w:val="972109" w:themeColor="accent5"/>
                                <w:sz w:val="52"/>
                                <w:szCs w:val="5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val="0"/>
                                </w14:textOutline>
                                <w14:textFill>
                                  <w14:solidFill>
                                    <w14:schemeClr w14:val="accent5"/>
                                  </w14:solidFill>
                                </w14:textFill>
                              </w:rPr>
                            </w:pPr>
                            <w:r>
                              <w:rPr>
                                <w:rFonts w:hint="eastAsia" w:ascii="微软雅黑" w:hAnsi="微软雅黑" w:eastAsia="微软雅黑"/>
                                <w:b/>
                                <w:color w:val="972109" w:themeColor="accent5"/>
                                <w:sz w:val="52"/>
                                <w:szCs w:val="5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val="0"/>
                                </w14:textOutline>
                                <w14:textFill>
                                  <w14:solidFill>
                                    <w14:schemeClr w14:val="accent5"/>
                                  </w14:solidFill>
                                </w14:textFill>
                              </w:rPr>
                              <w:t>河南交通职业技术学院</w:t>
                            </w:r>
                          </w:p>
                        </w:txbxContent>
                      </wps:txbx>
                      <wps:bodyPr rot="0" vert="horz" wrap="square" lIns="91440" tIns="45720" rIns="91440" bIns="45720" anchor="t" anchorCtr="0" upright="1">
                        <a:noAutofit/>
                      </wps:bodyPr>
                    </wps:wsp>
                  </a:graphicData>
                </a:graphic>
              </wp:anchor>
            </w:drawing>
          </mc:Choice>
          <mc:Fallback>
            <w:pict>
              <v:shape id="Text Box 6" o:spid="_x0000_s1026" o:spt="202" type="#_x0000_t202" style="position:absolute;left:0pt;margin-left:-20.1pt;margin-top:72pt;height:42pt;width:422pt;z-index:251683840;mso-width-relative:page;mso-height-relative:page;" fillcolor="#FFFFFF" filled="t" stroked="t" coordsize="21600,21600" o:gfxdata="UEsDBAoAAAAAAIdO4kAAAAAAAAAAAAAAAAAEAAAAZHJzL1BLAwQUAAAACACHTuJAy12eAtcAAAAL&#10;AQAADwAAAGRycy9kb3ducmV2LnhtbE2PwU7DMBBE70j8g7VIXFBr10QoCnEqVIE4t/TCzY23SUS8&#10;TmK3afl6lhMcVzOafa9cX3wvzjjFLpCB1VKBQKqD66gxsP94W+QgYrLkbB8IDVwxwrq6vSlt4cJM&#10;WzzvUiN4hGJhDbQpDYWUsW7R27gMAxJnxzB5m/icGukmO/O476VW6kl62xF/aO2Amxbrr93JGwjz&#10;69UHHJV++Pz275uXcXvUozH3dyv1DCLhJf2V4Ref0aFipkM4kYuiN7DIlOYqB1nGUtzI1SPLHAxo&#10;nSuQVSn/O1Q/UEsDBBQAAAAIAIdO4kBrIIQ8KwIAAG8EAAAOAAAAZHJzL2Uyb0RvYy54bWytVNtu&#10;2zAMfR+wfxD0vti5uGuMOEWXIsOArhvQ7gMUWbaFSaImKbG7rx8lJ2m6PQwY5gdBvOiQPCS9uhm0&#10;IgfhvART0ekkp0QYDrU0bUW/PW3fXVPiAzM1U2BERZ+Fpzfrt29WvS3FDDpQtXAEQYwve1vRLgRb&#10;ZpnnndDMT8AKg8YGnGYBRddmtWM9omuVzfL8KuvB1dYBF96j9m400nXCbxrBw5em8SIQVVHMLaTT&#10;pXMXz2y9YmXrmO0kP6bB/iELzaTBoGeoOxYY2Tv5B5SW3IGHJkw46AyaRnKRasBqpvlv1Tx2zIpU&#10;C5Lj7Zkm//9g+cPhqyOyxt4VlBimsUdPYgjkAwzkKtLTW1+i16NFvzCgGl1Tqd7eA//uiYFNx0wr&#10;bp2DvhOsxvSm8WV28XTE8RFk13+GGsOwfYAENDROR+6QDYLo2Kbnc2tiKhyVxbxYLnI0cbQV83m8&#10;xxCsPL22zoePAjSJl4o6bH1CZ4d7H0bXk0sM5kHJeiuVSoJrdxvlyIHhmGzTd0R/5aYM6Su6LGbF&#10;SMDfICK02mssd0Se5vGLyEmPkznqT6X4MY1U1qvAWgbcEiV1Ra/PGFi7MkeWI7EjxWHYDRggUr+D&#10;+hn5djBOPW4pXjpwPynpceIr6n/smROUqE8Ge7acLhZxRZKwKN7PUHCXlt2lhRmOUBUNlIzXTRjX&#10;am+dbDuMNE6JgVvscyNTC16yOuaNU52qPW5gXJtLOXm9/CfW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LXZ4C1wAAAAsBAAAPAAAAAAAAAAEAIAAAACIAAABkcnMvZG93bnJldi54bWxQSwECFAAU&#10;AAAACACHTuJAayCEPCsCAABvBAAADgAAAAAAAAABACAAAAAmAQAAZHJzL2Uyb0RvYy54bWxQSwUG&#10;AAAAAAYABgBZAQAAwwUAAAAA&#10;">
                <v:fill on="t" focussize="0,0"/>
                <v:stroke color="#FFFFFF [3228]" miterlimit="8" joinstyle="miter"/>
                <v:imagedata o:title=""/>
                <o:lock v:ext="edit" aspectratio="f"/>
                <v:textbox>
                  <w:txbxContent>
                    <w:p>
                      <w:pPr>
                        <w:spacing w:line="700" w:lineRule="exact"/>
                        <w:jc w:val="left"/>
                        <w:rPr>
                          <w:rFonts w:ascii="微软雅黑" w:hAnsi="微软雅黑" w:eastAsia="微软雅黑"/>
                          <w:b/>
                          <w:color w:val="972109" w:themeColor="accent5"/>
                          <w:sz w:val="52"/>
                          <w:szCs w:val="5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val="0"/>
                          </w14:textOutline>
                          <w14:textFill>
                            <w14:solidFill>
                              <w14:schemeClr w14:val="accent5"/>
                            </w14:solidFill>
                          </w14:textFill>
                        </w:rPr>
                      </w:pPr>
                      <w:r>
                        <w:rPr>
                          <w:rFonts w:hint="eastAsia" w:ascii="微软雅黑" w:hAnsi="微软雅黑" w:eastAsia="微软雅黑"/>
                          <w:b/>
                          <w:color w:val="972109" w:themeColor="accent5"/>
                          <w:sz w:val="52"/>
                          <w:szCs w:val="52"/>
                          <w14:shadow w14:blurRad="55003" w14:dist="50800" w14:dir="5400000" w14:sx="100000" w14:sy="100000" w14:kx="0" w14:ky="0" w14:algn="tl">
                            <w14:srgbClr w14:val="000000">
                              <w14:alpha w14:val="67000"/>
                            </w14:srgbClr>
                          </w14:shadow>
                          <w14:textOutline w14:w="8890" w14:cap="flat" w14:cmpd="sng" w14:algn="ctr">
                            <w14:solidFill>
                              <w14:schemeClr w14:val="accent1">
                                <w14:tint w14:val="3000"/>
                              </w14:schemeClr>
                            </w14:solidFill>
                            <w14:prstDash w14:val="solid"/>
                            <w14:miter w14:val="0"/>
                          </w14:textOutline>
                          <w14:textFill>
                            <w14:solidFill>
                              <w14:schemeClr w14:val="accent5"/>
                            </w14:solidFill>
                          </w14:textFill>
                        </w:rPr>
                        <w:t>河南交通职业技术学院</w:t>
                      </w:r>
                    </w:p>
                  </w:txbxContent>
                </v:textbox>
              </v:shape>
            </w:pict>
          </mc:Fallback>
        </mc:AlternateContent>
      </w:r>
      <w:r>
        <w:rPr>
          <w:rFonts w:ascii="Arial" w:hAnsi="Arial" w:cs="Arial"/>
        </w:rPr>
        <w:drawing>
          <wp:anchor distT="0" distB="0" distL="114300" distR="114300" simplePos="0" relativeHeight="251679744" behindDoc="0" locked="0" layoutInCell="1" allowOverlap="1">
            <wp:simplePos x="0" y="0"/>
            <wp:positionH relativeFrom="column">
              <wp:posOffset>-1135380</wp:posOffset>
            </wp:positionH>
            <wp:positionV relativeFrom="paragraph">
              <wp:posOffset>-904875</wp:posOffset>
            </wp:positionV>
            <wp:extent cx="7554595" cy="10694035"/>
            <wp:effectExtent l="0" t="0" r="825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4595" cy="10694035"/>
                    </a:xfrm>
                    <a:prstGeom prst="rect">
                      <a:avLst/>
                    </a:prstGeom>
                    <a:noFill/>
                    <a:ln>
                      <a:noFill/>
                    </a:ln>
                  </pic:spPr>
                </pic:pic>
              </a:graphicData>
            </a:graphic>
          </wp:anchor>
        </w:drawing>
      </w:r>
      <w:r>
        <w:rPr>
          <w:rFonts w:ascii="Arial" w:hAnsi="Arial" w:cs="Arial"/>
        </w:rPr>
        <mc:AlternateContent>
          <mc:Choice Requires="wps">
            <w:drawing>
              <wp:anchor distT="0" distB="0" distL="114300" distR="114300" simplePos="0" relativeHeight="251675648" behindDoc="0" locked="0" layoutInCell="1" allowOverlap="1">
                <wp:simplePos x="0" y="0"/>
                <wp:positionH relativeFrom="column">
                  <wp:posOffset>4660265</wp:posOffset>
                </wp:positionH>
                <wp:positionV relativeFrom="paragraph">
                  <wp:posOffset>7108190</wp:posOffset>
                </wp:positionV>
                <wp:extent cx="444500" cy="37592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444500" cy="3759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微软雅黑" w:hAnsi="微软雅黑" w:eastAsia="微软雅黑"/>
                                <w:b/>
                                <w:color w:val="595959" w:themeColor="text1" w:themeTint="A6"/>
                                <w:sz w:val="30"/>
                                <w:szCs w:val="30"/>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6.95pt;margin-top:559.7pt;height:29.6pt;width:35pt;z-index:251675648;mso-width-relative:page;mso-height-relative:page;" filled="f" stroked="f" coordsize="21600,21600" o:gfxdata="UEsDBAoAAAAAAIdO4kAAAAAAAAAAAAAAAAAEAAAAZHJzL1BLAwQUAAAACACHTuJAQZvKwtwAAAAN&#10;AQAADwAAAGRycy9kb3ducmV2LnhtbE2PzU7DMBCE70i8g7VI3KidFto0xKlQpAoJwaGlF25OvE0i&#10;7HWI3R/69HVOcNyZT7Mz+epsDTvi4DtHEpKJAIZUO91RI2H3uX5IgfmgSCvjCCX8oodVcXuTq0y7&#10;E23wuA0NiyHkMyWhDaHPOPd1i1b5ieuRord3g1UhnkPD9aBOMdwaPhVizq3qKH5oVY9li/X39mAl&#10;vJXrD7Wppja9mPL1ff/S/+y+nqS8v0vEM7CA5/AHw1g/VocidqrcgbRnRsJiNltGNBpJsnwEFpFU&#10;jFI1Sot0DrzI+f8VxRVQSwMEFAAAAAgAh07iQD9WyLYmAgAAJwQAAA4AAABkcnMvZTJvRG9jLnht&#10;bK1TzY7TMBC+I/EOlu80aTfdZaumq7KrIqQVu1JBnF3HbiLZHmO7TcoDwBvsiQt3nqvPwdhpuxVw&#10;Qlyc8XyT+fnm8/Sm04pshfMNmJIOBzklwnCoGrMu6ccPi1evKfGBmYopMKKkO+Hpzezli2lrJ2IE&#10;NahKOIJJjJ+0tqR1CHaSZZ7XQjM/ACsMghKcZgGvbp1VjrWYXatslOeXWQuusg648B69dz1IZym/&#10;lIKHBym9CESVFHsL6XTpXMUzm03ZZO2YrRt+aIP9QxeaNQaLnlLdscDIxjV/pNINd+BBhgEHnYGU&#10;DRdpBpxmmP82zbJmVqRZkBxvTzT5/5eWv98+OtJUJR0NKTFM4472T9/233/uf3wl6EOCWusnGLe0&#10;GBm6N9Dhoo9+j844dyedjl+ciCCOVO9O9IouEI7OoijGOSIcoYur8fUo0Z89/2ydD28FaBKNkjrc&#10;XiKVbe99wEYw9BgSaxlYNEqlDSpD2pJeXozz9MMJwT+UibEiaeGQJg7UNx6t0K26w5QrqHY4pINe&#10;J97yRYOt3DMfHplDYWD3KPbwgIdUgCXhYFFSg/vyN3+Mx30hSkmLQiup/7xhTlCi3hnc5PWwKKIy&#10;06UYXyErxJ0jq3PEbPQtoJZxWdhdMmN8UEdTOtCf8E3MY1WEmOFYu6ThaN6GXv74priYz1MQatGy&#10;cG+WlsfUPbnzTQDZJN4jTT03uIR4QTWmdRxeTpT7+T1FPb/v2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Bm8rC3AAAAA0BAAAPAAAAAAAAAAEAIAAAACIAAABkcnMvZG93bnJldi54bWxQSwECFAAU&#10;AAAACACHTuJAP1bItiYCAAAnBAAADgAAAAAAAAABACAAAAArAQAAZHJzL2Uyb0RvYy54bWxQSwUG&#10;AAAAAAYABgBZAQAAwwUAAAAA&#10;">
                <v:fill on="f" focussize="0,0"/>
                <v:stroke on="f" weight="0.5pt"/>
                <v:imagedata o:title=""/>
                <o:lock v:ext="edit" aspectratio="f"/>
                <v:textbox>
                  <w:txbxContent>
                    <w:p>
                      <w:pPr>
                        <w:rPr>
                          <w:rFonts w:ascii="微软雅黑" w:hAnsi="微软雅黑" w:eastAsia="微软雅黑"/>
                          <w:b/>
                          <w:color w:val="595959" w:themeColor="text1" w:themeTint="A6"/>
                          <w:sz w:val="30"/>
                          <w:szCs w:val="30"/>
                          <w14:textFill>
                            <w14:solidFill>
                              <w14:schemeClr w14:val="tx1">
                                <w14:lumMod w14:val="65000"/>
                                <w14:lumOff w14:val="35000"/>
                              </w14:schemeClr>
                            </w14:solidFill>
                          </w14:textFill>
                        </w:rPr>
                      </w:pPr>
                    </w:p>
                  </w:txbxContent>
                </v:textbox>
              </v:shape>
            </w:pict>
          </mc:Fallback>
        </mc:AlternateContent>
      </w:r>
    </w:p>
    <w:sdt>
      <w:sdtPr>
        <w:rPr>
          <w:rFonts w:ascii="Arial" w:hAnsi="Arial" w:eastAsia="黑体" w:cs="Arial"/>
          <w:b/>
          <w:bCs/>
          <w:color w:val="711907" w:themeColor="accent5" w:themeShade="BF"/>
          <w:sz w:val="36"/>
          <w:szCs w:val="21"/>
        </w:rPr>
        <w:id w:val="12172057"/>
        <w:docPartObj>
          <w:docPartGallery w:val="Table of Contents"/>
          <w:docPartUnique/>
        </w:docPartObj>
      </w:sdtPr>
      <w:sdtEndPr>
        <w:rPr>
          <w:rFonts w:ascii="Arial" w:hAnsi="Arial" w:cs="Arial" w:eastAsiaTheme="minorEastAsia"/>
          <w:b w:val="0"/>
          <w:bCs w:val="0"/>
          <w:color w:val="auto"/>
          <w:sz w:val="21"/>
          <w:szCs w:val="21"/>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rPr>
            <w:fldChar w:fldCharType="begin"/>
          </w:r>
          <w:r>
            <w:rPr>
              <w:rFonts w:ascii="Arial" w:hAnsi="Arial" w:cs="Arial"/>
            </w:rPr>
            <w:instrText xml:space="preserve"> HYPERLINK \l _Toc1944 </w:instrText>
          </w:r>
          <w:r>
            <w:rPr>
              <w:rFonts w:ascii="Arial" w:hAnsi="Arial" w:cs="Arial"/>
            </w:rPr>
            <w:fldChar w:fldCharType="separate"/>
          </w:r>
          <w:r>
            <w:rPr>
              <w:rFonts w:ascii="Arial" w:hAnsi="Arial" w:cs="Arial"/>
            </w:rPr>
            <w:t>前言</w:t>
          </w:r>
          <w:r>
            <w:tab/>
          </w:r>
          <w:r>
            <w:fldChar w:fldCharType="begin"/>
          </w:r>
          <w:r>
            <w:instrText xml:space="preserve"> PAGEREF _Toc1944 </w:instrText>
          </w:r>
          <w:r>
            <w:fldChar w:fldCharType="separate"/>
          </w:r>
          <w:r>
            <w:t>I</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_Toc1989 </w:instrText>
          </w:r>
          <w:r>
            <w:rPr>
              <w:rFonts w:ascii="Arial" w:hAnsi="Arial" w:cs="Arial"/>
            </w:rPr>
            <w:fldChar w:fldCharType="separate"/>
          </w:r>
          <w:r>
            <w:rPr>
              <w:rFonts w:ascii="Arial" w:hAnsi="Arial" w:cs="Arial"/>
            </w:rPr>
            <w:t>一、 总概</w:t>
          </w:r>
          <w:r>
            <w:tab/>
          </w:r>
          <w:r>
            <w:fldChar w:fldCharType="begin"/>
          </w:r>
          <w:r>
            <w:instrText xml:space="preserve"> PAGEREF _Toc1989 </w:instrText>
          </w:r>
          <w:r>
            <w:fldChar w:fldCharType="separate"/>
          </w:r>
          <w:r>
            <w:t>2</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_Toc5441 </w:instrText>
          </w:r>
          <w:r>
            <w:rPr>
              <w:rFonts w:ascii="Arial" w:hAnsi="Arial" w:cs="Arial"/>
            </w:rPr>
            <w:fldChar w:fldCharType="separate"/>
          </w:r>
          <w:r>
            <w:rPr>
              <w:rFonts w:ascii="Arial" w:hAnsi="Arial" w:cs="Arial"/>
            </w:rPr>
            <w:t>二、 课程运行模式说明</w:t>
          </w:r>
          <w:r>
            <w:tab/>
          </w:r>
          <w:r>
            <w:fldChar w:fldCharType="begin"/>
          </w:r>
          <w:r>
            <w:instrText xml:space="preserve"> PAGEREF _Toc5441 </w:instrText>
          </w:r>
          <w:r>
            <w:fldChar w:fldCharType="separate"/>
          </w:r>
          <w:r>
            <w:t>3</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_Toc18486 </w:instrText>
          </w:r>
          <w:r>
            <w:rPr>
              <w:rFonts w:ascii="Arial" w:hAnsi="Arial" w:cs="Arial"/>
            </w:rPr>
            <w:fldChar w:fldCharType="separate"/>
          </w:r>
          <w:r>
            <w:rPr>
              <w:rFonts w:ascii="Arial" w:hAnsi="Arial" w:cs="Arial"/>
            </w:rPr>
            <w:t>2.1 课程运行模式</w:t>
          </w:r>
          <w:r>
            <w:tab/>
          </w:r>
          <w:r>
            <w:fldChar w:fldCharType="begin"/>
          </w:r>
          <w:r>
            <w:instrText xml:space="preserve"> PAGEREF _Toc18486 </w:instrText>
          </w:r>
          <w:r>
            <w:fldChar w:fldCharType="separate"/>
          </w:r>
          <w:r>
            <w:t>3</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_Toc19661 </w:instrText>
          </w:r>
          <w:r>
            <w:rPr>
              <w:rFonts w:ascii="Arial" w:hAnsi="Arial" w:cs="Arial"/>
            </w:rPr>
            <w:fldChar w:fldCharType="separate"/>
          </w:r>
          <w:r>
            <w:rPr>
              <w:rFonts w:ascii="Arial" w:hAnsi="Arial" w:cs="Arial"/>
            </w:rPr>
            <w:t>2.2 学习站点</w:t>
          </w:r>
          <w:r>
            <w:tab/>
          </w:r>
          <w:r>
            <w:fldChar w:fldCharType="begin"/>
          </w:r>
          <w:r>
            <w:instrText xml:space="preserve"> PAGEREF _Toc19661 </w:instrText>
          </w:r>
          <w:r>
            <w:fldChar w:fldCharType="separate"/>
          </w:r>
          <w:r>
            <w:t>3</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_Toc6035 </w:instrText>
          </w:r>
          <w:r>
            <w:rPr>
              <w:rFonts w:ascii="Arial" w:hAnsi="Arial" w:cs="Arial"/>
            </w:rPr>
            <w:fldChar w:fldCharType="separate"/>
          </w:r>
          <w:r>
            <w:rPr>
              <w:rFonts w:ascii="Arial" w:hAnsi="Arial" w:cs="Arial"/>
            </w:rPr>
            <w:t>2.2.1 PC端学习站点</w:t>
          </w:r>
          <w:r>
            <w:tab/>
          </w:r>
          <w:r>
            <w:fldChar w:fldCharType="begin"/>
          </w:r>
          <w:r>
            <w:instrText xml:space="preserve"> PAGEREF _Toc6035 </w:instrText>
          </w:r>
          <w:r>
            <w:fldChar w:fldCharType="separate"/>
          </w:r>
          <w:r>
            <w:t>3</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_Toc23253 </w:instrText>
          </w:r>
          <w:r>
            <w:rPr>
              <w:rFonts w:ascii="Arial" w:hAnsi="Arial" w:cs="Arial"/>
            </w:rPr>
            <w:fldChar w:fldCharType="separate"/>
          </w:r>
          <w:r>
            <w:rPr>
              <w:rFonts w:ascii="Arial" w:hAnsi="Arial" w:cs="Arial"/>
            </w:rPr>
            <w:t>2.2.2 手机端学习站点</w:t>
          </w:r>
          <w:r>
            <w:tab/>
          </w:r>
          <w:r>
            <w:fldChar w:fldCharType="begin"/>
          </w:r>
          <w:r>
            <w:instrText xml:space="preserve"> PAGEREF _Toc23253 </w:instrText>
          </w:r>
          <w:r>
            <w:fldChar w:fldCharType="separate"/>
          </w:r>
          <w:r>
            <w:t>4</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_Toc24260 </w:instrText>
          </w:r>
          <w:r>
            <w:rPr>
              <w:rFonts w:ascii="Arial" w:hAnsi="Arial" w:cs="Arial"/>
            </w:rPr>
            <w:fldChar w:fldCharType="separate"/>
          </w:r>
          <w:r>
            <w:rPr>
              <w:rFonts w:hint="eastAsia" w:ascii="Arial" w:hAnsi="Arial" w:cs="Arial"/>
              <w:lang w:eastAsia="zh-CN"/>
            </w:rPr>
            <w:t>2.2.3 使用终端占比</w:t>
          </w:r>
          <w:r>
            <w:tab/>
          </w:r>
          <w:r>
            <w:fldChar w:fldCharType="begin"/>
          </w:r>
          <w:r>
            <w:instrText xml:space="preserve"> PAGEREF _Toc24260 </w:instrText>
          </w:r>
          <w:r>
            <w:fldChar w:fldCharType="separate"/>
          </w:r>
          <w:r>
            <w:t>4</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_Toc133 </w:instrText>
          </w:r>
          <w:r>
            <w:rPr>
              <w:rFonts w:ascii="Arial" w:hAnsi="Arial" w:cs="Arial"/>
            </w:rPr>
            <w:fldChar w:fldCharType="separate"/>
          </w:r>
          <w:r>
            <w:rPr>
              <w:rFonts w:ascii="Arial" w:hAnsi="Arial" w:cs="Arial"/>
            </w:rPr>
            <w:t>2.3 教学安排</w:t>
          </w:r>
          <w:r>
            <w:tab/>
          </w:r>
          <w:r>
            <w:fldChar w:fldCharType="begin"/>
          </w:r>
          <w:r>
            <w:instrText xml:space="preserve"> PAGEREF _Toc133 </w:instrText>
          </w:r>
          <w:r>
            <w:fldChar w:fldCharType="separate"/>
          </w:r>
          <w:r>
            <w:t>4</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_Toc3720 </w:instrText>
          </w:r>
          <w:r>
            <w:rPr>
              <w:rFonts w:ascii="Arial" w:hAnsi="Arial" w:cs="Arial"/>
            </w:rPr>
            <w:fldChar w:fldCharType="separate"/>
          </w:r>
          <w:r>
            <w:rPr>
              <w:rFonts w:ascii="Arial" w:hAnsi="Arial" w:cs="Arial"/>
            </w:rPr>
            <w:t>三、 课程运行情况分析</w:t>
          </w:r>
          <w:r>
            <w:tab/>
          </w:r>
          <w:r>
            <w:fldChar w:fldCharType="begin"/>
          </w:r>
          <w:r>
            <w:instrText xml:space="preserve"> PAGEREF _Toc3720 </w:instrText>
          </w:r>
          <w:r>
            <w:fldChar w:fldCharType="separate"/>
          </w:r>
          <w:r>
            <w:t>5</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_Toc22238 </w:instrText>
          </w:r>
          <w:r>
            <w:rPr>
              <w:rFonts w:ascii="Arial" w:hAnsi="Arial" w:cs="Arial"/>
            </w:rPr>
            <w:fldChar w:fldCharType="separate"/>
          </w:r>
          <w:r>
            <w:rPr>
              <w:rFonts w:ascii="Arial" w:hAnsi="Arial" w:cs="Arial"/>
            </w:rPr>
            <w:t>3.1 学生选课情况</w:t>
          </w:r>
          <w:r>
            <w:tab/>
          </w:r>
          <w:r>
            <w:fldChar w:fldCharType="begin"/>
          </w:r>
          <w:r>
            <w:instrText xml:space="preserve"> PAGEREF _Toc22238 </w:instrText>
          </w:r>
          <w:r>
            <w:fldChar w:fldCharType="separate"/>
          </w:r>
          <w:r>
            <w:t>5</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_Toc557 </w:instrText>
          </w:r>
          <w:r>
            <w:rPr>
              <w:rFonts w:ascii="Arial" w:hAnsi="Arial" w:cs="Arial"/>
            </w:rPr>
            <w:fldChar w:fldCharType="separate"/>
          </w:r>
          <w:r>
            <w:rPr>
              <w:rFonts w:ascii="Arial" w:hAnsi="Arial" w:cs="Arial"/>
            </w:rPr>
            <w:t>3.1.1 各院系学生选课情况</w:t>
          </w:r>
          <w:r>
            <w:tab/>
          </w:r>
          <w:r>
            <w:fldChar w:fldCharType="begin"/>
          </w:r>
          <w:r>
            <w:instrText xml:space="preserve"> PAGEREF _Toc557 </w:instrText>
          </w:r>
          <w:r>
            <w:fldChar w:fldCharType="separate"/>
          </w:r>
          <w:r>
            <w:t>6</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_Toc8449 </w:instrText>
          </w:r>
          <w:r>
            <w:rPr>
              <w:rFonts w:ascii="Arial" w:hAnsi="Arial" w:cs="Arial"/>
            </w:rPr>
            <w:fldChar w:fldCharType="separate"/>
          </w:r>
          <w:r>
            <w:rPr>
              <w:rFonts w:ascii="Arial" w:hAnsi="Arial" w:cs="Arial"/>
            </w:rPr>
            <w:t>3.1.2 学生选课模块分布情况</w:t>
          </w:r>
          <w:r>
            <w:tab/>
          </w:r>
          <w:r>
            <w:fldChar w:fldCharType="begin"/>
          </w:r>
          <w:r>
            <w:instrText xml:space="preserve"> PAGEREF _Toc8449 </w:instrText>
          </w:r>
          <w:r>
            <w:fldChar w:fldCharType="separate"/>
          </w:r>
          <w:r>
            <w:t>7</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_Toc6449 </w:instrText>
          </w:r>
          <w:r>
            <w:rPr>
              <w:rFonts w:ascii="Arial" w:hAnsi="Arial" w:cs="Arial"/>
            </w:rPr>
            <w:fldChar w:fldCharType="separate"/>
          </w:r>
          <w:r>
            <w:rPr>
              <w:rFonts w:ascii="Arial" w:hAnsi="Arial" w:cs="Arial"/>
            </w:rPr>
            <w:t>3.2 学生考核情况</w:t>
          </w:r>
          <w:r>
            <w:tab/>
          </w:r>
          <w:r>
            <w:fldChar w:fldCharType="begin"/>
          </w:r>
          <w:r>
            <w:instrText xml:space="preserve"> PAGEREF _Toc6449 </w:instrText>
          </w:r>
          <w:r>
            <w:fldChar w:fldCharType="separate"/>
          </w:r>
          <w:r>
            <w:t>8</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_Toc19914 </w:instrText>
          </w:r>
          <w:r>
            <w:rPr>
              <w:rFonts w:ascii="Arial" w:hAnsi="Arial" w:cs="Arial"/>
            </w:rPr>
            <w:fldChar w:fldCharType="separate"/>
          </w:r>
          <w:r>
            <w:rPr>
              <w:rFonts w:ascii="Arial" w:hAnsi="Arial" w:cs="Arial"/>
            </w:rPr>
            <w:t>3.</w:t>
          </w:r>
          <w:r>
            <w:rPr>
              <w:rFonts w:ascii="Arial" w:hAnsi="Arial" w:cs="Arial"/>
              <w:lang w:eastAsia="zh-CN"/>
            </w:rPr>
            <w:t>2</w:t>
          </w:r>
          <w:r>
            <w:rPr>
              <w:rFonts w:ascii="Arial" w:hAnsi="Arial" w:cs="Arial"/>
            </w:rPr>
            <w:t>.1 学生</w:t>
          </w:r>
          <w:r>
            <w:rPr>
              <w:rFonts w:ascii="Arial" w:hAnsi="Arial" w:cs="Arial"/>
              <w:lang w:eastAsia="zh-CN"/>
            </w:rPr>
            <w:t>考核成绩统计</w:t>
          </w:r>
          <w:r>
            <w:tab/>
          </w:r>
          <w:r>
            <w:fldChar w:fldCharType="begin"/>
          </w:r>
          <w:r>
            <w:instrText xml:space="preserve"> PAGEREF _Toc19914 </w:instrText>
          </w:r>
          <w:r>
            <w:fldChar w:fldCharType="separate"/>
          </w:r>
          <w:r>
            <w:t>8</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_Toc18165 </w:instrText>
          </w:r>
          <w:r>
            <w:rPr>
              <w:rFonts w:ascii="Arial" w:hAnsi="Arial" w:cs="Arial"/>
            </w:rPr>
            <w:fldChar w:fldCharType="separate"/>
          </w:r>
          <w:r>
            <w:rPr>
              <w:rFonts w:ascii="Arial" w:hAnsi="Arial" w:cs="Arial"/>
            </w:rPr>
            <w:t>3.</w:t>
          </w:r>
          <w:r>
            <w:rPr>
              <w:rFonts w:ascii="Arial" w:hAnsi="Arial" w:cs="Arial"/>
              <w:lang w:eastAsia="zh-CN"/>
            </w:rPr>
            <w:t>2</w:t>
          </w:r>
          <w:r>
            <w:rPr>
              <w:rFonts w:ascii="Arial" w:hAnsi="Arial" w:cs="Arial"/>
            </w:rPr>
            <w:t>.2</w:t>
          </w:r>
          <w:r>
            <w:rPr>
              <w:rFonts w:ascii="Arial" w:hAnsi="Arial" w:cs="Arial"/>
              <w:lang w:eastAsia="zh-CN"/>
            </w:rPr>
            <w:t xml:space="preserve"> </w:t>
          </w:r>
          <w:r>
            <w:rPr>
              <w:rFonts w:ascii="Arial" w:hAnsi="Arial" w:cs="Arial"/>
            </w:rPr>
            <w:t>课程平均</w:t>
          </w:r>
          <w:r>
            <w:rPr>
              <w:rFonts w:ascii="Arial" w:hAnsi="Arial" w:cs="Arial"/>
              <w:lang w:eastAsia="zh-CN"/>
            </w:rPr>
            <w:t>考核</w:t>
          </w:r>
          <w:r>
            <w:rPr>
              <w:rFonts w:ascii="Arial" w:hAnsi="Arial" w:cs="Arial"/>
            </w:rPr>
            <w:t>成绩</w:t>
          </w:r>
          <w:r>
            <w:rPr>
              <w:rFonts w:ascii="Arial" w:hAnsi="Arial" w:cs="Arial"/>
              <w:lang w:eastAsia="zh-CN"/>
            </w:rPr>
            <w:t>统计</w:t>
          </w:r>
          <w:r>
            <w:tab/>
          </w:r>
          <w:r>
            <w:fldChar w:fldCharType="begin"/>
          </w:r>
          <w:r>
            <w:instrText xml:space="preserve"> PAGEREF _Toc18165 </w:instrText>
          </w:r>
          <w:r>
            <w:fldChar w:fldCharType="separate"/>
          </w:r>
          <w:r>
            <w:t>11</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_Toc2882 </w:instrText>
          </w:r>
          <w:r>
            <w:rPr>
              <w:rFonts w:ascii="Arial" w:hAnsi="Arial" w:cs="Arial"/>
            </w:rPr>
            <w:fldChar w:fldCharType="separate"/>
          </w:r>
          <w:r>
            <w:rPr>
              <w:rFonts w:ascii="Arial" w:hAnsi="Arial" w:cs="Arial"/>
            </w:rPr>
            <w:t>3.</w:t>
          </w:r>
          <w:r>
            <w:rPr>
              <w:rFonts w:ascii="Arial" w:hAnsi="Arial" w:cs="Arial"/>
              <w:lang w:eastAsia="zh-CN"/>
            </w:rPr>
            <w:t>2</w:t>
          </w:r>
          <w:r>
            <w:rPr>
              <w:rFonts w:ascii="Arial" w:hAnsi="Arial" w:cs="Arial"/>
            </w:rPr>
            <w:t>.3 各</w:t>
          </w:r>
          <w:r>
            <w:rPr>
              <w:rFonts w:ascii="Arial" w:hAnsi="Arial" w:cs="Arial"/>
              <w:lang w:eastAsia="zh-CN"/>
            </w:rPr>
            <w:t>院系</w:t>
          </w:r>
          <w:r>
            <w:rPr>
              <w:rFonts w:ascii="Arial" w:hAnsi="Arial" w:cs="Arial"/>
            </w:rPr>
            <w:t>学生成绩情况统计</w:t>
          </w:r>
          <w:r>
            <w:tab/>
          </w:r>
          <w:r>
            <w:fldChar w:fldCharType="begin"/>
          </w:r>
          <w:r>
            <w:instrText xml:space="preserve"> PAGEREF _Toc2882 </w:instrText>
          </w:r>
          <w:r>
            <w:fldChar w:fldCharType="separate"/>
          </w:r>
          <w:r>
            <w:t>11</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_Toc4318 </w:instrText>
          </w:r>
          <w:r>
            <w:rPr>
              <w:rFonts w:ascii="Arial" w:hAnsi="Arial" w:cs="Arial"/>
            </w:rPr>
            <w:fldChar w:fldCharType="separate"/>
          </w:r>
          <w:r>
            <w:rPr>
              <w:rFonts w:ascii="Arial" w:hAnsi="Arial" w:cs="Arial"/>
            </w:rPr>
            <w:t>3.3 学习过程数据追踪分析</w:t>
          </w:r>
          <w:r>
            <w:tab/>
          </w:r>
          <w:r>
            <w:fldChar w:fldCharType="begin"/>
          </w:r>
          <w:r>
            <w:instrText xml:space="preserve"> PAGEREF _Toc4318 </w:instrText>
          </w:r>
          <w:r>
            <w:fldChar w:fldCharType="separate"/>
          </w:r>
          <w:r>
            <w:t>12</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_Toc8887 </w:instrText>
          </w:r>
          <w:r>
            <w:rPr>
              <w:rFonts w:ascii="Arial" w:hAnsi="Arial" w:cs="Arial"/>
            </w:rPr>
            <w:fldChar w:fldCharType="separate"/>
          </w:r>
          <w:r>
            <w:rPr>
              <w:rFonts w:ascii="Arial" w:hAnsi="Arial" w:cs="Arial"/>
            </w:rPr>
            <w:t>3.</w:t>
          </w:r>
          <w:r>
            <w:rPr>
              <w:rFonts w:ascii="Arial" w:hAnsi="Arial" w:cs="Arial"/>
              <w:lang w:eastAsia="zh-CN"/>
            </w:rPr>
            <w:t>3</w:t>
          </w:r>
          <w:r>
            <w:rPr>
              <w:rFonts w:ascii="Arial" w:hAnsi="Arial" w:cs="Arial"/>
            </w:rPr>
            <w:t>.1 学习访问情况</w:t>
          </w:r>
          <w:r>
            <w:tab/>
          </w:r>
          <w:r>
            <w:fldChar w:fldCharType="begin"/>
          </w:r>
          <w:r>
            <w:instrText xml:space="preserve"> PAGEREF _Toc8887 </w:instrText>
          </w:r>
          <w:r>
            <w:fldChar w:fldCharType="separate"/>
          </w:r>
          <w:r>
            <w:t>12</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_Toc30355 </w:instrText>
          </w:r>
          <w:r>
            <w:rPr>
              <w:rFonts w:ascii="Arial" w:hAnsi="Arial" w:cs="Arial"/>
            </w:rPr>
            <w:fldChar w:fldCharType="separate"/>
          </w:r>
          <w:r>
            <w:rPr>
              <w:rFonts w:ascii="Arial" w:hAnsi="Arial" w:cs="Arial"/>
            </w:rPr>
            <w:t>3.</w:t>
          </w:r>
          <w:r>
            <w:rPr>
              <w:rFonts w:ascii="Arial" w:hAnsi="Arial" w:cs="Arial"/>
              <w:lang w:eastAsia="zh-CN"/>
            </w:rPr>
            <w:t>3</w:t>
          </w:r>
          <w:r>
            <w:rPr>
              <w:rFonts w:ascii="Arial" w:hAnsi="Arial" w:cs="Arial"/>
            </w:rPr>
            <w:t>.2 学习讨论情况</w:t>
          </w:r>
          <w:r>
            <w:tab/>
          </w:r>
          <w:r>
            <w:fldChar w:fldCharType="begin"/>
          </w:r>
          <w:r>
            <w:instrText xml:space="preserve"> PAGEREF _Toc30355 </w:instrText>
          </w:r>
          <w:r>
            <w:fldChar w:fldCharType="separate"/>
          </w:r>
          <w:r>
            <w:t>14</w:t>
          </w:r>
          <w:r>
            <w:fldChar w:fldCharType="end"/>
          </w:r>
          <w:r>
            <w:rPr>
              <w:rFonts w:ascii="Arial" w:hAnsi="Arial" w:cs="Arial"/>
            </w:rPr>
            <w:fldChar w:fldCharType="end"/>
          </w:r>
        </w:p>
        <w:p>
          <w:pPr>
            <w:pStyle w:val="7"/>
            <w:tabs>
              <w:tab w:val="right" w:leader="dot" w:pos="8306"/>
            </w:tabs>
          </w:pPr>
          <w:r>
            <w:rPr>
              <w:rFonts w:ascii="Arial" w:hAnsi="Arial" w:cs="Arial"/>
            </w:rPr>
            <w:fldChar w:fldCharType="begin"/>
          </w:r>
          <w:r>
            <w:rPr>
              <w:rFonts w:ascii="Arial" w:hAnsi="Arial" w:cs="Arial"/>
            </w:rPr>
            <w:instrText xml:space="preserve"> HYPERLINK \l _Toc19065 </w:instrText>
          </w:r>
          <w:r>
            <w:rPr>
              <w:rFonts w:ascii="Arial" w:hAnsi="Arial" w:cs="Arial"/>
            </w:rPr>
            <w:fldChar w:fldCharType="separate"/>
          </w:r>
          <w:r>
            <w:rPr>
              <w:rFonts w:ascii="Arial" w:hAnsi="Arial" w:cs="Arial"/>
            </w:rPr>
            <w:t>3.</w:t>
          </w:r>
          <w:r>
            <w:rPr>
              <w:rFonts w:ascii="Arial" w:hAnsi="Arial" w:cs="Arial"/>
              <w:lang w:eastAsia="zh-CN"/>
            </w:rPr>
            <w:t>3</w:t>
          </w:r>
          <w:r>
            <w:rPr>
              <w:rFonts w:ascii="Arial" w:hAnsi="Arial" w:cs="Arial"/>
            </w:rPr>
            <w:t>.</w:t>
          </w:r>
          <w:r>
            <w:rPr>
              <w:rFonts w:ascii="Arial" w:hAnsi="Arial" w:cs="Arial"/>
              <w:lang w:eastAsia="zh-CN"/>
            </w:rPr>
            <w:t>3</w:t>
          </w:r>
          <w:r>
            <w:rPr>
              <w:rFonts w:ascii="Arial" w:hAnsi="Arial" w:cs="Arial"/>
            </w:rPr>
            <w:t xml:space="preserve"> </w:t>
          </w:r>
          <w:r>
            <w:rPr>
              <w:rFonts w:ascii="Arial" w:hAnsi="Arial" w:cs="Arial"/>
              <w:lang w:eastAsia="zh-CN"/>
            </w:rPr>
            <w:t>在线课程</w:t>
          </w:r>
          <w:r>
            <w:rPr>
              <w:rFonts w:ascii="Arial" w:hAnsi="Arial" w:cs="Arial"/>
            </w:rPr>
            <w:t>完成</w:t>
          </w:r>
          <w:r>
            <w:rPr>
              <w:rFonts w:ascii="Arial" w:hAnsi="Arial" w:cs="Arial"/>
              <w:lang w:eastAsia="zh-CN"/>
            </w:rPr>
            <w:t>情况</w:t>
          </w:r>
          <w:r>
            <w:tab/>
          </w:r>
          <w:r>
            <w:fldChar w:fldCharType="begin"/>
          </w:r>
          <w:r>
            <w:instrText xml:space="preserve"> PAGEREF _Toc19065 </w:instrText>
          </w:r>
          <w:r>
            <w:fldChar w:fldCharType="separate"/>
          </w:r>
          <w:r>
            <w:t>15</w:t>
          </w:r>
          <w:r>
            <w:fldChar w:fldCharType="end"/>
          </w:r>
          <w:r>
            <w:rPr>
              <w:rFonts w:ascii="Arial" w:hAnsi="Arial" w:cs="Arial"/>
            </w:rPr>
            <w:fldChar w:fldCharType="end"/>
          </w:r>
        </w:p>
        <w:p>
          <w:pPr>
            <w:pStyle w:val="11"/>
            <w:tabs>
              <w:tab w:val="right" w:leader="dot" w:pos="8306"/>
              <w:tab w:val="clear" w:pos="735"/>
              <w:tab w:val="clear" w:pos="8296"/>
            </w:tabs>
          </w:pPr>
          <w:r>
            <w:rPr>
              <w:rFonts w:ascii="Arial" w:hAnsi="Arial" w:cs="Arial"/>
            </w:rPr>
            <w:fldChar w:fldCharType="begin"/>
          </w:r>
          <w:r>
            <w:rPr>
              <w:rFonts w:ascii="Arial" w:hAnsi="Arial" w:cs="Arial"/>
            </w:rPr>
            <w:instrText xml:space="preserve"> HYPERLINK \l _Toc23880 </w:instrText>
          </w:r>
          <w:r>
            <w:rPr>
              <w:rFonts w:ascii="Arial" w:hAnsi="Arial" w:cs="Arial"/>
            </w:rPr>
            <w:fldChar w:fldCharType="separate"/>
          </w:r>
          <w:r>
            <w:rPr>
              <w:rFonts w:ascii="Arial" w:hAnsi="Arial" w:cs="Arial"/>
            </w:rPr>
            <w:t>附录</w:t>
          </w:r>
          <w:r>
            <w:tab/>
          </w:r>
          <w:r>
            <w:fldChar w:fldCharType="begin"/>
          </w:r>
          <w:r>
            <w:instrText xml:space="preserve"> PAGEREF _Toc23880 </w:instrText>
          </w:r>
          <w:r>
            <w:fldChar w:fldCharType="separate"/>
          </w:r>
          <w:r>
            <w:t>17</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_Toc17032 </w:instrText>
          </w:r>
          <w:r>
            <w:rPr>
              <w:rFonts w:ascii="Arial" w:hAnsi="Arial" w:cs="Arial"/>
            </w:rPr>
            <w:fldChar w:fldCharType="separate"/>
          </w:r>
          <w:r>
            <w:rPr>
              <w:rFonts w:ascii="Arial" w:hAnsi="Arial" w:cs="Arial"/>
            </w:rPr>
            <w:t>附录1 学校选课清单</w:t>
          </w:r>
          <w:r>
            <w:tab/>
          </w:r>
          <w:r>
            <w:fldChar w:fldCharType="begin"/>
          </w:r>
          <w:r>
            <w:instrText xml:space="preserve"> PAGEREF _Toc17032 </w:instrText>
          </w:r>
          <w:r>
            <w:fldChar w:fldCharType="separate"/>
          </w:r>
          <w:r>
            <w:t>17</w:t>
          </w:r>
          <w:r>
            <w:fldChar w:fldCharType="end"/>
          </w:r>
          <w:r>
            <w:rPr>
              <w:rFonts w:ascii="Arial" w:hAnsi="Arial" w:cs="Arial"/>
            </w:rPr>
            <w:fldChar w:fldCharType="end"/>
          </w:r>
        </w:p>
        <w:p>
          <w:pPr>
            <w:pStyle w:val="13"/>
            <w:tabs>
              <w:tab w:val="right" w:leader="dot" w:pos="8306"/>
            </w:tabs>
          </w:pPr>
          <w:r>
            <w:rPr>
              <w:rFonts w:ascii="Arial" w:hAnsi="Arial" w:cs="Arial"/>
            </w:rPr>
            <w:fldChar w:fldCharType="begin"/>
          </w:r>
          <w:r>
            <w:rPr>
              <w:rFonts w:ascii="Arial" w:hAnsi="Arial" w:cs="Arial"/>
            </w:rPr>
            <w:instrText xml:space="preserve"> HYPERLINK \l _Toc7725 </w:instrText>
          </w:r>
          <w:r>
            <w:rPr>
              <w:rFonts w:ascii="Arial" w:hAnsi="Arial" w:cs="Arial"/>
            </w:rPr>
            <w:fldChar w:fldCharType="separate"/>
          </w:r>
          <w:r>
            <w:rPr>
              <w:rFonts w:ascii="Arial" w:hAnsi="Arial" w:cs="Arial"/>
            </w:rPr>
            <w:t>附录2 课程考核成绩表</w:t>
          </w:r>
          <w:r>
            <w:tab/>
          </w:r>
          <w:r>
            <w:fldChar w:fldCharType="begin"/>
          </w:r>
          <w:r>
            <w:instrText xml:space="preserve"> PAGEREF _Toc7725 </w:instrText>
          </w:r>
          <w:r>
            <w:fldChar w:fldCharType="separate"/>
          </w:r>
          <w:r>
            <w:t>21</w:t>
          </w:r>
          <w:r>
            <w:fldChar w:fldCharType="end"/>
          </w:r>
          <w:r>
            <w:rPr>
              <w:rFonts w:ascii="Arial" w:hAnsi="Arial" w:cs="Arial"/>
            </w:rPr>
            <w:fldChar w:fldCharType="end"/>
          </w:r>
        </w:p>
        <w:p>
          <w:pPr>
            <w:spacing w:line="360" w:lineRule="auto"/>
            <w:rPr>
              <w:rFonts w:ascii="Arial" w:hAnsi="Arial" w:cs="Arial"/>
            </w:rPr>
          </w:pPr>
          <w:r>
            <w:rPr>
              <w:rFonts w:ascii="Arial" w:hAnsi="Arial" w:cs="Arial"/>
            </w:rPr>
            <w:fldChar w:fldCharType="end"/>
          </w:r>
        </w:p>
      </w:sdtContent>
    </w:sdt>
    <w:p>
      <w:pPr>
        <w:pStyle w:val="2"/>
        <w:numPr>
          <w:ilvl w:val="0"/>
          <w:numId w:val="0"/>
        </w:numPr>
        <w:ind w:left="420"/>
        <w:rPr>
          <w:rFonts w:ascii="Arial" w:hAnsi="Arial" w:cs="Arial"/>
        </w:rPr>
        <w:sectPr>
          <w:headerReference r:id="rId3" w:type="default"/>
          <w:footerReference r:id="rId4" w:type="default"/>
          <w:pgSz w:w="11900" w:h="16840"/>
          <w:pgMar w:top="1440" w:right="1797" w:bottom="1440" w:left="1797" w:header="567" w:footer="992" w:gutter="0"/>
          <w:pgNumType w:fmt="upperRoman" w:start="1"/>
          <w:cols w:space="720" w:num="1"/>
          <w:docGrid w:type="linesAndChars" w:linePitch="312" w:charSpace="0"/>
        </w:sectPr>
      </w:pPr>
      <w:bookmarkStart w:id="0" w:name="_Toc444785787"/>
    </w:p>
    <w:p>
      <w:pPr>
        <w:pStyle w:val="2"/>
        <w:numPr>
          <w:ilvl w:val="0"/>
          <w:numId w:val="0"/>
        </w:numPr>
        <w:ind w:left="420"/>
        <w:rPr>
          <w:rFonts w:ascii="Arial" w:hAnsi="Arial" w:cs="Arial"/>
        </w:rPr>
      </w:pPr>
      <w:bookmarkStart w:id="1" w:name="_Toc1944"/>
      <w:r>
        <w:rPr>
          <w:rFonts w:ascii="Arial" w:hAnsi="Arial" w:cs="Arial"/>
        </w:rPr>
        <w:t>前言</w:t>
      </w:r>
      <w:bookmarkEnd w:id="0"/>
      <w:bookmarkEnd w:id="1"/>
    </w:p>
    <w:p>
      <w:pPr>
        <w:widowControl/>
        <w:spacing w:line="360" w:lineRule="auto"/>
        <w:jc w:val="left"/>
        <w:rPr>
          <w:rFonts w:ascii="Arial" w:hAnsi="Arial" w:eastAsia="宋体" w:cs="Arial"/>
          <w:bCs/>
          <w:sz w:val="24"/>
          <w:szCs w:val="24"/>
          <w:lang w:val="zh-TW"/>
        </w:rPr>
      </w:pPr>
    </w:p>
    <w:p>
      <w:pPr>
        <w:spacing w:line="360" w:lineRule="auto"/>
        <w:rPr>
          <w:rFonts w:ascii="Arial" w:hAnsi="Arial" w:eastAsia="华文楷体" w:cs="Arial"/>
          <w:bCs/>
          <w:sz w:val="28"/>
          <w:szCs w:val="28"/>
          <w:lang w:val="zh-TW"/>
        </w:rPr>
      </w:pPr>
      <w:r>
        <w:rPr>
          <w:rFonts w:ascii="Arial" w:hAnsi="Arial" w:eastAsia="华文楷体" w:cs="Arial"/>
          <w:bCs/>
          <w:sz w:val="28"/>
          <w:szCs w:val="28"/>
          <w:lang w:val="zh-TW" w:eastAsia="zh-TW"/>
        </w:rPr>
        <w:t>尊敬的河南交通职业技术学院领导：</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您好！</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感谢您在过去的一学期选择超星尔雅。</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为了向您展示2018学年春季学期超星尔雅在贵校的运行情况，我们特别制作了这份《超星尔雅课程运行报告》供您参考。</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我公司承诺本报告中所有数据客观有效，且在未经过贵校同意前不向任何机构或个人透露。因涉及到部分商业机密，也请您对此份报告内容进行保密。</w:t>
      </w:r>
    </w:p>
    <w:p>
      <w:pPr>
        <w:spacing w:line="360" w:lineRule="auto"/>
        <w:ind w:firstLine="560" w:firstLineChars="200"/>
        <w:rPr>
          <w:rFonts w:ascii="Arial" w:hAnsi="Arial" w:eastAsia="华文楷体" w:cs="Arial"/>
          <w:bCs/>
          <w:sz w:val="28"/>
          <w:szCs w:val="28"/>
          <w:lang w:val="zh-TW"/>
        </w:rPr>
      </w:pPr>
      <w:r>
        <w:rPr>
          <w:rFonts w:ascii="Arial" w:hAnsi="Arial" w:eastAsia="华文楷体" w:cs="Arial"/>
          <w:bCs/>
          <w:sz w:val="28"/>
          <w:szCs w:val="28"/>
          <w:lang w:val="zh-TW"/>
        </w:rPr>
        <w:t>“数据驱动学校，分析变革教育”已成为教育改革和发展的共识。期待我们今后有更好的合作。</w:t>
      </w:r>
    </w:p>
    <w:p>
      <w:pPr>
        <w:spacing w:line="360" w:lineRule="auto"/>
        <w:ind w:firstLine="560" w:firstLineChars="200"/>
        <w:rPr>
          <w:rFonts w:ascii="Arial" w:hAnsi="Arial" w:eastAsia="华文楷体" w:cs="Arial"/>
          <w:bCs/>
          <w:sz w:val="28"/>
          <w:szCs w:val="28"/>
          <w:lang w:val="zh-TW"/>
        </w:rPr>
      </w:pPr>
    </w:p>
    <w:p>
      <w:pPr>
        <w:spacing w:line="360" w:lineRule="auto"/>
        <w:ind w:firstLine="560" w:firstLineChars="200"/>
        <w:jc w:val="right"/>
        <w:rPr>
          <w:rFonts w:ascii="Arial" w:hAnsi="Arial" w:eastAsia="华文楷体" w:cs="Arial"/>
          <w:bCs/>
          <w:sz w:val="28"/>
          <w:szCs w:val="28"/>
          <w:lang w:val="zh-TW"/>
        </w:rPr>
      </w:pPr>
      <w:r>
        <w:rPr>
          <w:rFonts w:ascii="Arial" w:hAnsi="Arial" w:eastAsia="华文楷体" w:cs="Arial"/>
          <w:bCs/>
          <w:sz w:val="28"/>
          <w:szCs w:val="28"/>
          <w:lang w:val="zh-TW"/>
        </w:rPr>
        <w:t>超星尔雅</w:t>
      </w:r>
    </w:p>
    <w:p>
      <w:pPr>
        <w:spacing w:line="360" w:lineRule="auto"/>
        <w:ind w:firstLine="560" w:firstLineChars="200"/>
        <w:jc w:val="right"/>
        <w:rPr>
          <w:rFonts w:ascii="Arial" w:hAnsi="Arial" w:eastAsia="华文楷体" w:cs="Arial"/>
          <w:bCs/>
          <w:sz w:val="28"/>
          <w:szCs w:val="28"/>
          <w:lang w:eastAsia="zh-TW"/>
        </w:rPr>
      </w:pPr>
      <w:r>
        <w:rPr>
          <w:rFonts w:ascii="Arial" w:hAnsi="Arial" w:eastAsia="华文楷体" w:cs="Arial"/>
          <w:bCs/>
          <w:sz w:val="28"/>
          <w:szCs w:val="28"/>
          <w:lang w:val="zh-TW"/>
        </w:rPr>
        <w:t>2018年07月</w:t>
      </w:r>
    </w:p>
    <w:p>
      <w:pPr>
        <w:spacing w:line="360" w:lineRule="auto"/>
        <w:rPr>
          <w:rFonts w:ascii="Arial" w:hAnsi="Arial" w:eastAsia="宋体" w:cs="Arial"/>
          <w:bCs/>
          <w:sz w:val="24"/>
          <w:szCs w:val="24"/>
          <w:lang w:val="zh-TW"/>
        </w:rPr>
      </w:pPr>
    </w:p>
    <w:p>
      <w:pPr>
        <w:widowControl/>
        <w:spacing w:line="360" w:lineRule="auto"/>
        <w:jc w:val="left"/>
        <w:rPr>
          <w:rFonts w:ascii="Arial" w:hAnsi="Arial" w:eastAsia="宋体" w:cs="Arial"/>
          <w:bCs/>
          <w:sz w:val="24"/>
          <w:szCs w:val="24"/>
          <w:lang w:val="zh-TW"/>
        </w:rPr>
      </w:pPr>
    </w:p>
    <w:p>
      <w:pPr>
        <w:widowControl/>
        <w:spacing w:line="360" w:lineRule="auto"/>
        <w:jc w:val="left"/>
        <w:rPr>
          <w:rFonts w:ascii="Arial" w:hAnsi="Arial" w:eastAsia="宋体" w:cs="Arial"/>
          <w:bCs/>
          <w:sz w:val="24"/>
          <w:szCs w:val="24"/>
          <w:lang w:val="zh-TW"/>
        </w:rPr>
      </w:pPr>
    </w:p>
    <w:p>
      <w:pPr>
        <w:widowControl/>
        <w:spacing w:line="360" w:lineRule="auto"/>
        <w:jc w:val="left"/>
        <w:rPr>
          <w:rFonts w:ascii="Arial" w:hAnsi="Arial" w:eastAsia="宋体" w:cs="Arial"/>
          <w:bCs/>
          <w:sz w:val="24"/>
          <w:szCs w:val="24"/>
          <w:lang w:val="zh-TW"/>
        </w:rPr>
        <w:sectPr>
          <w:pgSz w:w="11900" w:h="16840"/>
          <w:pgMar w:top="1440" w:right="1797" w:bottom="1440" w:left="1797" w:header="567" w:footer="992" w:gutter="0"/>
          <w:pgNumType w:fmt="upperRoman" w:start="1"/>
          <w:cols w:space="720" w:num="1"/>
          <w:docGrid w:type="linesAndChars" w:linePitch="312" w:charSpace="0"/>
        </w:sectPr>
      </w:pPr>
    </w:p>
    <w:p>
      <w:pPr>
        <w:pStyle w:val="2"/>
        <w:numPr>
          <w:ilvl w:val="0"/>
          <w:numId w:val="2"/>
        </w:numPr>
        <w:ind w:left="0" w:firstLine="0"/>
        <w:rPr>
          <w:rFonts w:ascii="Arial" w:hAnsi="Arial" w:cs="Arial"/>
        </w:rPr>
      </w:pPr>
      <w:bookmarkStart w:id="2" w:name="_Toc1989"/>
      <w:r>
        <w:rPr>
          <w:rFonts w:ascii="Arial" w:hAnsi="Arial" w:cs="Arial"/>
        </w:rPr>
        <w:t>总概</w:t>
      </w:r>
      <w:bookmarkEnd w:id="2"/>
    </w:p>
    <w:p>
      <w:pPr>
        <w:spacing w:before="156" w:beforeLines="50" w:after="156" w:afterLines="50"/>
        <w:rPr>
          <w:rFonts w:ascii="Arial" w:hAnsi="Arial" w:eastAsia="黑体" w:cs="Arial"/>
          <w:b/>
          <w:color w:val="65291B" w:themeColor="accent1" w:themeShade="BF"/>
          <w:sz w:val="24"/>
        </w:rPr>
      </w:pPr>
      <w:r>
        <w:rPr>
          <w:rFonts w:ascii="Arial" w:hAnsi="Arial" w:eastAsia="黑体" w:cs="Arial"/>
          <w:b/>
          <w:color w:val="65291B" w:themeColor="accent1" w:themeShade="BF"/>
          <w:sz w:val="24"/>
        </w:rPr>
        <w:t>超星尔雅通识课</w:t>
      </w:r>
    </w:p>
    <w:p>
      <w:pPr>
        <w:spacing w:line="360" w:lineRule="auto"/>
        <w:ind w:firstLine="480" w:firstLineChars="200"/>
        <w:rPr>
          <w:rFonts w:ascii="Arial" w:hAnsi="Arial" w:cs="Arial" w:eastAsiaTheme="majorEastAsia"/>
          <w:bCs/>
          <w:sz w:val="24"/>
          <w:szCs w:val="24"/>
          <w:u w:color="000000"/>
          <w:lang w:val="zh-TW"/>
        </w:rPr>
      </w:pPr>
      <w:r>
        <w:rPr>
          <w:rFonts w:ascii="Arial" w:hAnsi="Arial" w:cs="Arial" w:eastAsiaTheme="majorEastAsia"/>
          <w:bCs/>
          <w:sz w:val="24"/>
          <w:szCs w:val="24"/>
          <w:u w:color="000000"/>
          <w:lang w:val="zh-TW"/>
        </w:rPr>
        <w:t>超星尔雅通识课网络修学分平台2010年应运而生，迅速成长为中国大学网络学习知名品牌。在每天24小时高并发、高流量的全国性多点访问的情况下，超星尔雅安全稳定运行</w:t>
      </w:r>
      <w:r>
        <w:rPr>
          <w:rFonts w:hint="eastAsia" w:ascii="Arial" w:hAnsi="Arial" w:cs="Arial" w:eastAsiaTheme="majorEastAsia"/>
          <w:bCs/>
          <w:sz w:val="24"/>
          <w:szCs w:val="24"/>
          <w:u w:color="000000"/>
          <w:lang w:val="zh-TW"/>
        </w:rPr>
        <w:t>8</w:t>
      </w:r>
      <w:r>
        <w:rPr>
          <w:rFonts w:ascii="Arial" w:hAnsi="Arial" w:cs="Arial" w:eastAsiaTheme="majorEastAsia"/>
          <w:bCs/>
          <w:sz w:val="24"/>
          <w:szCs w:val="24"/>
          <w:u w:color="000000"/>
          <w:lang w:val="zh-TW"/>
        </w:rPr>
        <w:t>年，无任何一起教学事故。</w:t>
      </w:r>
    </w:p>
    <w:p>
      <w:pPr>
        <w:pStyle w:val="49"/>
        <w:numPr>
          <w:ilvl w:val="0"/>
          <w:numId w:val="3"/>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截至201</w:t>
      </w:r>
      <w:r>
        <w:rPr>
          <w:rFonts w:hint="eastAsia" w:ascii="Arial" w:hAnsi="Arial" w:eastAsia="楷体" w:cs="Arial"/>
          <w:b/>
          <w:bCs/>
          <w:sz w:val="24"/>
          <w:szCs w:val="24"/>
          <w:u w:color="000000"/>
          <w:lang w:val="zh-TW"/>
        </w:rPr>
        <w:t>8</w:t>
      </w:r>
      <w:r>
        <w:rPr>
          <w:rFonts w:ascii="Arial" w:hAnsi="Arial" w:eastAsia="楷体" w:cs="Arial"/>
          <w:b/>
          <w:bCs/>
          <w:sz w:val="24"/>
          <w:szCs w:val="24"/>
          <w:u w:color="000000"/>
          <w:lang w:val="zh-TW"/>
        </w:rPr>
        <w:t>年</w:t>
      </w:r>
      <w:r>
        <w:rPr>
          <w:rFonts w:hint="eastAsia" w:ascii="Arial" w:hAnsi="Arial" w:eastAsia="楷体" w:cs="Arial"/>
          <w:b/>
          <w:bCs/>
          <w:sz w:val="24"/>
          <w:szCs w:val="24"/>
          <w:u w:color="000000"/>
          <w:lang w:val="zh-TW"/>
        </w:rPr>
        <w:t>5月</w:t>
      </w:r>
      <w:r>
        <w:rPr>
          <w:rFonts w:ascii="Arial" w:hAnsi="Arial" w:eastAsia="楷体" w:cs="Arial"/>
          <w:b/>
          <w:bCs/>
          <w:sz w:val="24"/>
          <w:szCs w:val="24"/>
          <w:u w:color="000000"/>
          <w:lang w:val="zh-TW"/>
        </w:rPr>
        <w:t>，全国已有1</w:t>
      </w:r>
      <w:r>
        <w:rPr>
          <w:rFonts w:hint="eastAsia" w:ascii="Arial" w:hAnsi="Arial" w:eastAsia="楷体" w:cs="Arial"/>
          <w:b/>
          <w:bCs/>
          <w:sz w:val="24"/>
          <w:szCs w:val="24"/>
          <w:u w:color="000000"/>
          <w:lang w:val="zh-TW"/>
        </w:rPr>
        <w:t>8</w:t>
      </w:r>
      <w:r>
        <w:rPr>
          <w:rFonts w:ascii="Arial" w:hAnsi="Arial" w:eastAsia="楷体" w:cs="Arial"/>
          <w:b/>
          <w:bCs/>
          <w:sz w:val="24"/>
          <w:szCs w:val="24"/>
          <w:u w:color="000000"/>
          <w:lang w:val="zh-TW"/>
        </w:rPr>
        <w:t>00余家高校成为超星尔雅用户；</w:t>
      </w:r>
    </w:p>
    <w:p>
      <w:pPr>
        <w:pStyle w:val="49"/>
        <w:numPr>
          <w:ilvl w:val="0"/>
          <w:numId w:val="3"/>
        </w:numPr>
        <w:spacing w:line="360" w:lineRule="auto"/>
        <w:ind w:left="426" w:firstLineChars="0"/>
        <w:rPr>
          <w:rFonts w:ascii="Arial" w:hAnsi="Arial" w:eastAsia="楷体" w:cs="Arial"/>
          <w:b/>
          <w:bCs/>
          <w:sz w:val="24"/>
          <w:szCs w:val="24"/>
          <w:u w:color="000000"/>
          <w:lang w:val="zh-TW"/>
        </w:rPr>
      </w:pPr>
      <w:r>
        <w:rPr>
          <w:rFonts w:hint="eastAsia" w:ascii="Arial" w:hAnsi="Arial" w:eastAsia="楷体" w:cs="Arial"/>
          <w:b/>
          <w:bCs/>
          <w:sz w:val="24"/>
          <w:szCs w:val="24"/>
          <w:u w:color="000000"/>
          <w:lang w:val="zh-TW"/>
        </w:rPr>
        <w:t>截至2018年5月，课程累计修读人次达5000万</w:t>
      </w:r>
      <w:r>
        <w:rPr>
          <w:rFonts w:ascii="Arial" w:hAnsi="Arial" w:eastAsia="楷体" w:cs="Arial"/>
          <w:b/>
          <w:bCs/>
          <w:sz w:val="24"/>
          <w:szCs w:val="24"/>
          <w:u w:color="000000"/>
          <w:lang w:val="zh-TW"/>
        </w:rPr>
        <w:t>；</w:t>
      </w:r>
    </w:p>
    <w:p>
      <w:pPr>
        <w:pStyle w:val="49"/>
        <w:numPr>
          <w:ilvl w:val="0"/>
          <w:numId w:val="3"/>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201</w:t>
      </w:r>
      <w:r>
        <w:rPr>
          <w:rFonts w:hint="eastAsia" w:ascii="Arial" w:hAnsi="Arial" w:eastAsia="楷体" w:cs="Arial"/>
          <w:b/>
          <w:bCs/>
          <w:sz w:val="24"/>
          <w:szCs w:val="24"/>
          <w:u w:color="000000"/>
          <w:lang w:val="zh-TW"/>
        </w:rPr>
        <w:t>8</w:t>
      </w:r>
      <w:r>
        <w:rPr>
          <w:rFonts w:ascii="Arial" w:hAnsi="Arial" w:eastAsia="楷体" w:cs="Arial"/>
          <w:b/>
          <w:bCs/>
          <w:sz w:val="24"/>
          <w:szCs w:val="24"/>
          <w:u w:color="000000"/>
          <w:lang w:val="zh-TW"/>
        </w:rPr>
        <w:t>年</w:t>
      </w:r>
      <w:r>
        <w:rPr>
          <w:rFonts w:hint="eastAsia" w:ascii="Arial" w:hAnsi="Arial" w:eastAsia="楷体" w:cs="Arial"/>
          <w:b/>
          <w:bCs/>
          <w:sz w:val="24"/>
          <w:szCs w:val="24"/>
          <w:u w:color="000000"/>
          <w:lang w:val="zh-TW"/>
        </w:rPr>
        <w:t>春</w:t>
      </w:r>
      <w:r>
        <w:rPr>
          <w:rFonts w:ascii="Arial" w:hAnsi="Arial" w:eastAsia="楷体" w:cs="Arial"/>
          <w:b/>
          <w:bCs/>
          <w:sz w:val="24"/>
          <w:szCs w:val="24"/>
          <w:u w:color="000000"/>
          <w:lang w:val="zh-TW"/>
        </w:rPr>
        <w:t>季学期，超星尔雅推出新课50余门，总课程数已超过3</w:t>
      </w:r>
      <w:r>
        <w:rPr>
          <w:rFonts w:hint="eastAsia" w:ascii="Arial" w:hAnsi="Arial" w:eastAsia="楷体" w:cs="Arial"/>
          <w:b/>
          <w:bCs/>
          <w:sz w:val="24"/>
          <w:szCs w:val="24"/>
          <w:u w:color="000000"/>
          <w:lang w:val="zh-TW"/>
        </w:rPr>
        <w:t>7</w:t>
      </w:r>
      <w:r>
        <w:rPr>
          <w:rFonts w:ascii="Arial" w:hAnsi="Arial" w:eastAsia="楷体" w:cs="Arial"/>
          <w:b/>
          <w:bCs/>
          <w:sz w:val="24"/>
          <w:szCs w:val="24"/>
          <w:u w:color="000000"/>
          <w:lang w:val="zh-TW"/>
        </w:rPr>
        <w:t>0门；</w:t>
      </w:r>
    </w:p>
    <w:p>
      <w:pPr>
        <w:pStyle w:val="49"/>
        <w:numPr>
          <w:ilvl w:val="0"/>
          <w:numId w:val="3"/>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201</w:t>
      </w:r>
      <w:r>
        <w:rPr>
          <w:rFonts w:hint="eastAsia" w:ascii="Arial" w:hAnsi="Arial" w:eastAsia="楷体" w:cs="Arial"/>
          <w:b/>
          <w:bCs/>
          <w:sz w:val="24"/>
          <w:szCs w:val="24"/>
          <w:u w:color="000000"/>
          <w:lang w:val="zh-TW"/>
        </w:rPr>
        <w:t>8</w:t>
      </w:r>
      <w:r>
        <w:rPr>
          <w:rFonts w:ascii="Arial" w:hAnsi="Arial" w:eastAsia="楷体" w:cs="Arial"/>
          <w:b/>
          <w:bCs/>
          <w:sz w:val="24"/>
          <w:szCs w:val="24"/>
          <w:u w:color="000000"/>
          <w:lang w:val="zh-TW"/>
        </w:rPr>
        <w:t>年</w:t>
      </w:r>
      <w:r>
        <w:rPr>
          <w:rFonts w:hint="eastAsia" w:ascii="Arial" w:hAnsi="Arial" w:eastAsia="楷体" w:cs="Arial"/>
          <w:b/>
          <w:bCs/>
          <w:sz w:val="24"/>
          <w:szCs w:val="24"/>
          <w:u w:color="000000"/>
          <w:lang w:val="zh-TW"/>
        </w:rPr>
        <w:t>秋</w:t>
      </w:r>
      <w:r>
        <w:rPr>
          <w:rFonts w:ascii="Arial" w:hAnsi="Arial" w:eastAsia="楷体" w:cs="Arial"/>
          <w:b/>
          <w:bCs/>
          <w:sz w:val="24"/>
          <w:szCs w:val="24"/>
          <w:u w:color="000000"/>
          <w:lang w:val="zh-TW"/>
        </w:rPr>
        <w:t>季学期，超星尔雅即将上线</w:t>
      </w:r>
      <w:r>
        <w:rPr>
          <w:rFonts w:hint="eastAsia" w:ascii="Arial" w:hAnsi="Arial" w:eastAsia="楷体" w:cs="Arial"/>
          <w:b/>
          <w:bCs/>
          <w:sz w:val="24"/>
          <w:szCs w:val="24"/>
          <w:u w:color="000000"/>
          <w:lang w:val="zh-TW"/>
        </w:rPr>
        <w:t>2</w:t>
      </w:r>
      <w:r>
        <w:rPr>
          <w:rFonts w:ascii="Arial" w:hAnsi="Arial" w:eastAsia="楷体" w:cs="Arial"/>
          <w:b/>
          <w:bCs/>
          <w:sz w:val="24"/>
          <w:szCs w:val="24"/>
          <w:u w:color="000000"/>
          <w:lang w:val="zh-TW"/>
        </w:rPr>
        <w:t>0门全新课程。</w:t>
      </w:r>
    </w:p>
    <w:p>
      <w:pPr>
        <w:spacing w:before="156" w:beforeLines="50" w:after="156" w:afterLines="50"/>
        <w:rPr>
          <w:rFonts w:ascii="Arial" w:hAnsi="Arial" w:eastAsia="黑体" w:cs="Arial"/>
          <w:b/>
          <w:color w:val="65291B" w:themeColor="accent1" w:themeShade="BF"/>
          <w:sz w:val="24"/>
        </w:rPr>
      </w:pPr>
      <w:r>
        <w:rPr>
          <w:rFonts w:ascii="Arial" w:hAnsi="Arial" w:eastAsia="黑体" w:cs="Arial"/>
          <w:b/>
          <w:color w:val="65291B" w:themeColor="accent1" w:themeShade="BF"/>
          <w:sz w:val="24"/>
        </w:rPr>
        <w:t>河南交通职业技术学院</w:t>
      </w:r>
    </w:p>
    <w:p>
      <w:pPr>
        <w:spacing w:line="360" w:lineRule="auto"/>
        <w:ind w:firstLine="480" w:firstLineChars="200"/>
        <w:rPr>
          <w:rFonts w:ascii="Arial" w:hAnsi="Arial" w:cs="Arial" w:eastAsiaTheme="majorEastAsia"/>
          <w:bCs/>
          <w:sz w:val="24"/>
          <w:szCs w:val="24"/>
          <w:u w:color="000000"/>
          <w:lang w:val="zh-TW"/>
        </w:rPr>
      </w:pPr>
      <w:r>
        <w:rPr>
          <w:rFonts w:ascii="Arial" w:hAnsi="Arial" w:cs="Arial" w:eastAsiaTheme="majorEastAsia"/>
          <w:bCs/>
          <w:sz w:val="24"/>
          <w:szCs w:val="24"/>
          <w:u w:color="000000"/>
          <w:lang w:val="zh-TW"/>
        </w:rPr>
        <w:t>河南交通职业技术学院在201</w:t>
      </w:r>
      <w:r>
        <w:rPr>
          <w:rFonts w:hint="eastAsia" w:ascii="Arial" w:hAnsi="Arial" w:cs="Arial" w:eastAsiaTheme="majorEastAsia"/>
          <w:bCs/>
          <w:sz w:val="24"/>
          <w:szCs w:val="24"/>
          <w:u w:color="000000"/>
          <w:lang w:val="zh-TW"/>
        </w:rPr>
        <w:t>8</w:t>
      </w:r>
      <w:r>
        <w:rPr>
          <w:rFonts w:ascii="Arial" w:hAnsi="Arial" w:cs="Arial" w:eastAsiaTheme="majorEastAsia"/>
          <w:bCs/>
          <w:sz w:val="24"/>
          <w:szCs w:val="24"/>
          <w:u w:color="000000"/>
          <w:lang w:val="zh-TW"/>
        </w:rPr>
        <w:t>年</w:t>
      </w:r>
      <w:r>
        <w:rPr>
          <w:rFonts w:hint="eastAsia" w:ascii="Arial" w:hAnsi="Arial" w:cs="Arial" w:eastAsiaTheme="majorEastAsia"/>
          <w:bCs/>
          <w:sz w:val="24"/>
          <w:szCs w:val="24"/>
          <w:u w:color="000000"/>
          <w:lang w:val="zh-TW"/>
        </w:rPr>
        <w:t>春</w:t>
      </w:r>
      <w:r>
        <w:rPr>
          <w:rFonts w:ascii="Arial" w:hAnsi="Arial" w:cs="Arial" w:eastAsiaTheme="majorEastAsia"/>
          <w:bCs/>
          <w:sz w:val="24"/>
          <w:szCs w:val="24"/>
          <w:u w:color="000000"/>
          <w:lang w:val="zh-TW"/>
        </w:rPr>
        <w:t>季学期中：</w:t>
      </w:r>
    </w:p>
    <w:p>
      <w:pPr>
        <w:pStyle w:val="49"/>
        <w:numPr>
          <w:ilvl w:val="0"/>
          <w:numId w:val="4"/>
        </w:numPr>
        <w:spacing w:line="360" w:lineRule="auto"/>
        <w:ind w:left="426" w:firstLineChars="0"/>
        <w:jc w:val="left"/>
        <w:rPr>
          <w:rFonts w:ascii="Arial" w:hAnsi="Arial" w:eastAsia="楷体" w:cs="Arial"/>
          <w:b/>
          <w:bCs/>
          <w:sz w:val="24"/>
          <w:szCs w:val="24"/>
          <w:u w:color="000000"/>
          <w:lang w:val="zh-TW"/>
        </w:rPr>
      </w:pPr>
      <w:r>
        <w:rPr>
          <w:rFonts w:ascii="Arial" w:hAnsi="Arial" w:eastAsia="楷体" w:cs="Arial"/>
          <w:b/>
          <w:bCs/>
          <w:sz w:val="24"/>
          <w:szCs w:val="24"/>
          <w:u w:color="000000"/>
          <w:lang w:val="zh-TW"/>
        </w:rPr>
        <w:t>贵校共开设公选课程</w:t>
      </w:r>
      <w:r>
        <w:rPr>
          <w:rFonts w:hint="eastAsia" w:ascii="Arial" w:hAnsi="Arial" w:eastAsia="楷体" w:cs="Arial"/>
          <w:b/>
          <w:bCs/>
          <w:sz w:val="24"/>
          <w:szCs w:val="24"/>
          <w:u w:color="000000"/>
          <w:lang w:val="zh-TW"/>
        </w:rPr>
        <w:t>70</w:t>
      </w:r>
      <w:r>
        <w:rPr>
          <w:rFonts w:ascii="Arial" w:hAnsi="Arial" w:eastAsia="楷体" w:cs="Arial"/>
          <w:b/>
          <w:bCs/>
          <w:sz w:val="24"/>
          <w:szCs w:val="24"/>
          <w:u w:color="000000"/>
          <w:lang w:val="zh-TW"/>
        </w:rPr>
        <w:t>门；</w:t>
      </w:r>
    </w:p>
    <w:p>
      <w:pPr>
        <w:pStyle w:val="49"/>
        <w:numPr>
          <w:ilvl w:val="0"/>
          <w:numId w:val="4"/>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6803名学生</w:t>
      </w:r>
      <w:r>
        <w:rPr>
          <w:rFonts w:hint="eastAsia" w:ascii="Arial" w:hAnsi="Arial" w:eastAsia="楷体" w:cs="Arial"/>
          <w:b/>
          <w:bCs/>
          <w:sz w:val="24"/>
          <w:szCs w:val="24"/>
          <w:u w:color="000000"/>
          <w:lang w:val="zh-TW"/>
        </w:rPr>
        <w:t>报名</w:t>
      </w:r>
      <w:r>
        <w:rPr>
          <w:rFonts w:ascii="Arial" w:hAnsi="Arial" w:eastAsia="楷体" w:cs="Arial"/>
          <w:b/>
          <w:bCs/>
          <w:sz w:val="24"/>
          <w:szCs w:val="24"/>
          <w:u w:color="000000"/>
          <w:lang w:val="zh-TW"/>
        </w:rPr>
        <w:t>参与尔雅通识课学习；</w:t>
      </w:r>
    </w:p>
    <w:p>
      <w:pPr>
        <w:pStyle w:val="49"/>
        <w:numPr>
          <w:ilvl w:val="0"/>
          <w:numId w:val="4"/>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91.94%的学生通过课程考核并获得相应学分；</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w:t>
      </w:r>
      <w:r>
        <w:rPr>
          <w:rFonts w:ascii="Arial" w:hAnsi="Arial" w:eastAsia="楷体" w:cs="Arial"/>
          <w:color w:val="A36520" w:themeColor="accent2" w:themeShade="BF"/>
          <w:szCs w:val="21"/>
        </w:rPr>
        <w:t>考核通过率=考核及格人次/参加考核人次。其中，考核及格分数为60分及以上，参加考核人次不包含已选课但未</w:t>
      </w:r>
      <w:r>
        <w:rPr>
          <w:rFonts w:hint="eastAsia" w:ascii="Arial" w:hAnsi="Arial" w:eastAsia="楷体" w:cs="Arial"/>
          <w:color w:val="A36520" w:themeColor="accent2" w:themeShade="BF"/>
          <w:szCs w:val="21"/>
        </w:rPr>
        <w:t>参加</w:t>
      </w:r>
      <w:r>
        <w:rPr>
          <w:rFonts w:ascii="Arial" w:hAnsi="Arial" w:eastAsia="楷体" w:cs="Arial"/>
          <w:color w:val="A36520" w:themeColor="accent2" w:themeShade="BF"/>
          <w:szCs w:val="21"/>
        </w:rPr>
        <w:t>学习的学生人次。</w:t>
      </w:r>
      <w:r>
        <w:rPr>
          <w:rFonts w:ascii="Arial" w:hAnsi="Arial" w:eastAsia="楷体" w:cs="Arial"/>
          <w:bCs/>
          <w:color w:val="A36520" w:themeColor="accent2" w:themeShade="BF"/>
          <w:szCs w:val="21"/>
          <w:u w:color="000000"/>
          <w:lang w:val="zh-TW"/>
        </w:rPr>
        <w:t>】</w:t>
      </w:r>
    </w:p>
    <w:p>
      <w:pPr>
        <w:pStyle w:val="49"/>
        <w:numPr>
          <w:ilvl w:val="0"/>
          <w:numId w:val="4"/>
        </w:numPr>
        <w:spacing w:line="360" w:lineRule="auto"/>
        <w:ind w:left="426" w:firstLineChars="0"/>
        <w:rPr>
          <w:rFonts w:ascii="Arial" w:hAnsi="Arial" w:eastAsia="楷体" w:cs="Arial"/>
          <w:b/>
          <w:bCs/>
          <w:sz w:val="24"/>
          <w:szCs w:val="24"/>
          <w:u w:color="000000"/>
          <w:lang w:val="zh-TW"/>
        </w:rPr>
      </w:pPr>
      <w:r>
        <w:rPr>
          <w:rFonts w:ascii="Arial" w:hAnsi="Arial" w:eastAsia="楷体" w:cs="Arial"/>
          <w:b/>
          <w:bCs/>
          <w:sz w:val="24"/>
          <w:szCs w:val="24"/>
          <w:u w:color="000000"/>
          <w:lang w:val="zh-TW"/>
        </w:rPr>
        <w:t>课程学习期末考核总体优秀率为73.99%。</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【说明：优秀率=考核优秀人次/参加考核人次。其中，考核优秀分数为90分及以上，参加考核人次不包含已选课但未</w:t>
      </w:r>
      <w:r>
        <w:rPr>
          <w:rFonts w:hint="eastAsia" w:ascii="Arial" w:hAnsi="Arial" w:eastAsia="楷体" w:cs="Arial"/>
          <w:bCs/>
          <w:color w:val="A36520" w:themeColor="accent2" w:themeShade="BF"/>
          <w:szCs w:val="21"/>
          <w:u w:color="000000"/>
          <w:lang w:val="zh-TW"/>
        </w:rPr>
        <w:t>参加</w:t>
      </w:r>
      <w:r>
        <w:rPr>
          <w:rFonts w:ascii="Arial" w:hAnsi="Arial" w:eastAsia="楷体" w:cs="Arial"/>
          <w:bCs/>
          <w:color w:val="A36520" w:themeColor="accent2" w:themeShade="BF"/>
          <w:szCs w:val="21"/>
          <w:u w:color="000000"/>
          <w:lang w:val="zh-TW"/>
        </w:rPr>
        <w:t>学习的学生人次。】</w:t>
      </w:r>
    </w:p>
    <w:p>
      <w:pPr>
        <w:spacing w:line="360" w:lineRule="auto"/>
        <w:ind w:firstLine="480" w:firstLineChars="200"/>
        <w:rPr>
          <w:rFonts w:ascii="Arial" w:hAnsi="Arial" w:cs="Arial" w:eastAsiaTheme="majorEastAsia"/>
          <w:bCs/>
          <w:sz w:val="24"/>
          <w:szCs w:val="24"/>
          <w:u w:color="000000"/>
          <w:lang w:val="zh-TW"/>
        </w:rPr>
      </w:pPr>
      <w:r>
        <w:rPr>
          <w:rFonts w:ascii="Arial" w:hAnsi="Arial" w:cs="Arial" w:eastAsiaTheme="majorEastAsia"/>
          <w:bCs/>
          <w:sz w:val="24"/>
          <w:szCs w:val="24"/>
          <w:u w:color="000000"/>
          <w:lang w:val="zh-TW"/>
        </w:rPr>
        <w:t>教学质量的提升是推动人才培养质量的持续提高、实现人才培养目标的重要保障。超星尔雅网络通识课程通过在线课堂/混合式课堂的形式，以教学活动组织实施为核心内容，围绕着教学任务、学习过程考核、学习成果考核等方面展开，能够有效提高学校教学质量。随着学生对通识教育课程的需求日益增加，在选修课领域进行网络通识课体系建设成为了贵校开展综合素质教育的重要方式之一。</w:t>
      </w:r>
      <w:r>
        <w:rPr>
          <w:rFonts w:ascii="Arial" w:hAnsi="Arial" w:cs="Arial" w:eastAsiaTheme="majorEastAsia"/>
          <w:bCs/>
          <w:sz w:val="24"/>
          <w:szCs w:val="24"/>
          <w:u w:color="000000"/>
          <w:lang w:val="zh-TW"/>
        </w:rPr>
        <w:br w:type="page"/>
      </w:r>
    </w:p>
    <w:p>
      <w:pPr>
        <w:pStyle w:val="2"/>
        <w:rPr>
          <w:rFonts w:ascii="Arial" w:hAnsi="Arial" w:cs="Arial"/>
        </w:rPr>
      </w:pPr>
      <w:bookmarkStart w:id="3" w:name="_Toc5441"/>
      <w:r>
        <w:rPr>
          <w:rFonts w:ascii="Arial" w:hAnsi="Arial" w:cs="Arial"/>
        </w:rPr>
        <w:t>课程运行模式说明</w:t>
      </w:r>
      <w:bookmarkEnd w:id="3"/>
    </w:p>
    <w:p>
      <w:pPr>
        <w:pStyle w:val="3"/>
        <w:rPr>
          <w:rFonts w:ascii="Arial" w:hAnsi="Arial" w:cs="Arial"/>
        </w:rPr>
      </w:pPr>
      <w:bookmarkStart w:id="4" w:name="_Toc18486"/>
      <w:r>
        <w:rPr>
          <w:rFonts w:ascii="Arial" w:hAnsi="Arial" w:cs="Arial"/>
        </w:rPr>
        <w:t>2.1 课程运行模式</w:t>
      </w:r>
      <w:bookmarkEnd w:id="4"/>
    </w:p>
    <w:p>
      <w:pPr>
        <w:spacing w:line="360" w:lineRule="auto"/>
        <w:ind w:firstLine="480" w:firstLineChars="200"/>
        <w:rPr>
          <w:rFonts w:ascii="Arial" w:hAnsi="Arial" w:eastAsia="宋体" w:cs="Arial"/>
          <w:bCs/>
          <w:sz w:val="24"/>
          <w:szCs w:val="24"/>
          <w:u w:color="000000"/>
          <w:lang w:val="zh-TW"/>
        </w:rPr>
      </w:pPr>
      <w:r>
        <w:rPr>
          <w:rFonts w:ascii="Arial" w:hAnsi="Arial" w:eastAsia="宋体" w:cs="Arial"/>
          <w:bCs/>
          <w:sz w:val="24"/>
          <w:szCs w:val="24"/>
          <w:u w:color="000000"/>
          <w:lang w:val="zh-TW"/>
        </w:rPr>
        <w:t>2018年春季学期，河南交通职业技术学院的课程运行模式如下表所示：</w:t>
      </w:r>
    </w:p>
    <w:tbl>
      <w:tblPr>
        <w:tblStyle w:val="28"/>
        <w:tblW w:w="7079" w:type="dxa"/>
        <w:jc w:val="center"/>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5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36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选课模式</w:t>
            </w:r>
          </w:p>
        </w:tc>
        <w:tc>
          <w:tcPr>
            <w:tcW w:w="5853" w:type="dxa"/>
            <w:shd w:val="clear" w:color="auto" w:fill="F4E1CB" w:themeFill="accent2" w:themeFillTint="3F"/>
          </w:tcPr>
          <w:p>
            <w:pPr>
              <w:spacing w:line="360" w:lineRule="auto"/>
              <w:rPr>
                <w:rFonts w:ascii="Arial" w:hAnsi="Arial" w:cs="Arial"/>
                <w:b w:val="0"/>
                <w:bCs/>
                <w:szCs w:val="21"/>
                <w:lang w:val="zh-TW" w:eastAsia="zh-TW"/>
              </w:rPr>
            </w:pPr>
            <w:r>
              <w:rPr>
                <w:rFonts w:ascii="Arial" w:hAnsi="Arial" w:cs="Arial"/>
                <w:b w:val="0"/>
                <w:bCs/>
                <w:szCs w:val="21"/>
                <w:highlight w:val="none"/>
                <w:lang w:val="zh-TW" w:eastAsia="zh-TW"/>
              </w:rPr>
              <w:t>自助选课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24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学习方式</w:t>
            </w:r>
          </w:p>
        </w:tc>
        <w:tc>
          <w:tcPr>
            <w:tcW w:w="5853" w:type="dxa"/>
            <w:shd w:val="clear" w:color="auto" w:fill="FFFFFF" w:themeFill="background1"/>
          </w:tcPr>
          <w:p>
            <w:pPr>
              <w:spacing w:line="240" w:lineRule="auto"/>
              <w:rPr>
                <w:rFonts w:ascii="Arial" w:hAnsi="Arial" w:cs="Arial"/>
                <w:szCs w:val="21"/>
                <w:lang w:val="zh-TW"/>
              </w:rPr>
            </w:pPr>
            <w:r>
              <w:rPr>
                <w:rFonts w:ascii="Arial" w:hAnsi="Arial" w:cs="Arial"/>
                <w:szCs w:val="21"/>
                <w:highlight w:val="none"/>
                <w:lang w:val="zh-TW" w:eastAsia="zh-TW"/>
              </w:rPr>
              <w:t>采用网络学习的方式，在网上进行听课、做作业、参加考试、参与线上讨论、提问等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36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学习计划</w:t>
            </w:r>
          </w:p>
        </w:tc>
        <w:tc>
          <w:tcPr>
            <w:tcW w:w="5853" w:type="dxa"/>
            <w:shd w:val="clear" w:color="auto" w:fill="F4E1CB" w:themeFill="accent2" w:themeFillTint="3F"/>
          </w:tcPr>
          <w:p>
            <w:pPr>
              <w:spacing w:line="360" w:lineRule="auto"/>
              <w:rPr>
                <w:rFonts w:ascii="Arial" w:hAnsi="Arial" w:cs="Arial"/>
                <w:szCs w:val="21"/>
                <w:lang w:val="zh-TW" w:eastAsia="zh-TW"/>
              </w:rPr>
            </w:pPr>
            <w:r>
              <w:rPr>
                <w:rFonts w:ascii="Arial" w:hAnsi="Arial" w:cs="Arial"/>
                <w:szCs w:val="21"/>
                <w:lang w:val="zh-TW" w:eastAsia="zh-TW"/>
              </w:rPr>
              <w:t>规定时间内完成全部的学习与考试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24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学习内容</w:t>
            </w:r>
          </w:p>
        </w:tc>
        <w:tc>
          <w:tcPr>
            <w:tcW w:w="5853" w:type="dxa"/>
            <w:shd w:val="clear" w:color="auto" w:fill="FFFFFF" w:themeFill="background1"/>
          </w:tcPr>
          <w:p>
            <w:pPr>
              <w:spacing w:line="240" w:lineRule="auto"/>
              <w:rPr>
                <w:rFonts w:ascii="Arial" w:hAnsi="Arial" w:cs="Arial"/>
                <w:szCs w:val="21"/>
                <w:lang w:val="zh-TW" w:eastAsia="zh-TW"/>
              </w:rPr>
            </w:pPr>
            <w:r>
              <w:rPr>
                <w:rFonts w:ascii="Arial" w:hAnsi="Arial" w:cs="Arial"/>
                <w:szCs w:val="21"/>
                <w:lang w:val="zh-TW" w:eastAsia="zh-TW"/>
              </w:rPr>
              <w:t>点击所选的相应课程进行学习，按照学习计划观看课程视频，阅读相关参考书目，观看相关讲座视频</w:t>
            </w:r>
            <w:r>
              <w:rPr>
                <w:rFonts w:ascii="Arial" w:hAnsi="Arial" w:cs="Arial"/>
                <w:szCs w:val="21"/>
                <w:lang w:val="zh-TW"/>
              </w:rPr>
              <w:t>或直播</w:t>
            </w:r>
            <w:r>
              <w:rPr>
                <w:rFonts w:ascii="Arial" w:hAnsi="Arial" w:cs="Arial"/>
                <w:szCs w:val="21"/>
                <w:lang w:val="zh-TW" w:eastAsia="zh-TW"/>
              </w:rPr>
              <w:t>，并根据学习内容进行提问以及讨论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6" w:type="dxa"/>
            <w:shd w:val="clear" w:color="auto" w:fill="65281A" w:themeFill="accent1" w:themeFillShade="BF"/>
            <w:vAlign w:val="center"/>
          </w:tcPr>
          <w:p>
            <w:pPr>
              <w:spacing w:line="360" w:lineRule="auto"/>
              <w:jc w:val="center"/>
              <w:rPr>
                <w:rFonts w:ascii="Arial" w:hAnsi="Arial" w:eastAsia="黑体" w:cs="Arial"/>
                <w:b/>
                <w:bCs/>
                <w:color w:val="FFFFFF" w:themeColor="background1"/>
                <w:szCs w:val="21"/>
                <w:lang w:val="zh-TW"/>
                <w14:textFill>
                  <w14:solidFill>
                    <w14:schemeClr w14:val="bg1"/>
                  </w14:solidFill>
                </w14:textFill>
              </w:rPr>
            </w:pPr>
            <w:r>
              <w:rPr>
                <w:rFonts w:ascii="Arial" w:hAnsi="Arial" w:eastAsia="黑体" w:cs="Arial"/>
                <w:b/>
                <w:bCs/>
                <w:color w:val="FFFFFF" w:themeColor="background1"/>
                <w:szCs w:val="21"/>
                <w:lang w:val="zh-TW"/>
                <w14:textFill>
                  <w14:solidFill>
                    <w14:schemeClr w14:val="bg1"/>
                  </w14:solidFill>
                </w14:textFill>
              </w:rPr>
              <w:t>作业考试</w:t>
            </w:r>
          </w:p>
        </w:tc>
        <w:tc>
          <w:tcPr>
            <w:tcW w:w="5853" w:type="dxa"/>
            <w:shd w:val="clear" w:color="auto" w:fill="F4E1CB" w:themeFill="accent2" w:themeFillTint="3F"/>
          </w:tcPr>
          <w:p>
            <w:pPr>
              <w:spacing w:line="360" w:lineRule="auto"/>
              <w:rPr>
                <w:rFonts w:ascii="Arial" w:hAnsi="Arial" w:cs="Arial"/>
                <w:szCs w:val="21"/>
                <w:lang w:val="zh-TW" w:eastAsia="zh-TW"/>
              </w:rPr>
            </w:pPr>
            <w:r>
              <w:rPr>
                <w:rFonts w:ascii="Arial" w:hAnsi="Arial" w:cs="Arial"/>
                <w:szCs w:val="21"/>
                <w:lang w:val="zh-TW" w:eastAsia="zh-TW"/>
              </w:rPr>
              <w:t>根据个人首页提醒按时完成作业以及考试，以获得相应成绩</w:t>
            </w:r>
          </w:p>
        </w:tc>
      </w:tr>
    </w:tbl>
    <w:p>
      <w:pPr>
        <w:spacing w:line="360" w:lineRule="auto"/>
        <w:jc w:val="center"/>
        <w:rPr>
          <w:rFonts w:ascii="Arial" w:hAnsi="Arial" w:eastAsia="楷体" w:cs="Arial"/>
          <w:b/>
          <w:lang w:val="zh-TW"/>
        </w:rPr>
      </w:pPr>
      <w:r>
        <w:rPr>
          <w:rFonts w:ascii="Arial" w:hAnsi="Arial" w:eastAsia="楷体" w:cs="Arial"/>
          <w:b/>
          <w:lang w:val="zh-TW"/>
        </w:rPr>
        <w:t>河南交通职业技术学院超星尔雅网络通识课程运行模式表</w:t>
      </w:r>
    </w:p>
    <w:p>
      <w:pPr>
        <w:pStyle w:val="3"/>
        <w:rPr>
          <w:rFonts w:ascii="Arial" w:hAnsi="Arial" w:cs="Arial"/>
        </w:rPr>
      </w:pPr>
      <w:bookmarkStart w:id="5" w:name="_Toc19661"/>
      <w:r>
        <w:rPr>
          <w:rFonts w:ascii="Arial" w:hAnsi="Arial" w:cs="Arial"/>
        </w:rPr>
        <w:t>2.2 学习站点</w:t>
      </w:r>
      <w:bookmarkEnd w:id="5"/>
    </w:p>
    <w:p>
      <w:pPr>
        <w:pStyle w:val="4"/>
        <w:rPr>
          <w:rFonts w:ascii="Arial" w:hAnsi="Arial" w:cs="Arial"/>
        </w:rPr>
      </w:pPr>
      <w:bookmarkStart w:id="6" w:name="_Toc6035"/>
      <w:r>
        <w:rPr>
          <w:rFonts w:ascii="Arial" w:hAnsi="Arial" w:cs="Arial"/>
        </w:rPr>
        <w:t>2.2.1 PC端学习站点</w:t>
      </w:r>
      <w:bookmarkEnd w:id="6"/>
    </w:p>
    <w:p>
      <w:pPr>
        <w:spacing w:line="360" w:lineRule="auto"/>
        <w:jc w:val="left"/>
        <w:rPr>
          <w:rFonts w:ascii="Arial" w:hAnsi="Arial" w:cs="Arial"/>
          <w:sz w:val="24"/>
          <w:szCs w:val="24"/>
          <w:lang w:val="zh-TW"/>
        </w:rPr>
      </w:pPr>
      <w:r>
        <w:rPr>
          <w:rFonts w:ascii="Arial" w:hAnsi="Arial" w:cs="Arial"/>
          <w:sz w:val="24"/>
          <w:szCs w:val="24"/>
          <w:lang w:val="zh-TW" w:eastAsia="zh-TW"/>
        </w:rPr>
        <w:t>河南交通职业技术学院PC端尔</w:t>
      </w:r>
      <w:r>
        <w:rPr>
          <w:rFonts w:ascii="Arial" w:hAnsi="Arial" w:eastAsia="宋体" w:cs="Arial"/>
          <w:bCs/>
          <w:sz w:val="24"/>
          <w:szCs w:val="24"/>
          <w:u w:color="000000"/>
          <w:lang w:val="zh-TW" w:eastAsia="zh-TW"/>
        </w:rPr>
        <w:t>雅网络通识课程学习入口，网址为：</w:t>
      </w:r>
      <w:r>
        <w:rPr>
          <w:rFonts w:ascii="Arial" w:hAnsi="Arial" w:eastAsia="宋体" w:cs="Arial"/>
          <w:bCs/>
          <w:color w:val="65291B" w:themeColor="accent1" w:themeShade="BF"/>
          <w:sz w:val="24"/>
          <w:szCs w:val="24"/>
          <w:u w:color="000000"/>
          <w:lang w:val="zh-TW" w:eastAsia="zh-TW"/>
        </w:rPr>
        <w:t>http://hncc.zhiye.chaoxing.com/。</w:t>
      </w:r>
      <w:r>
        <w:rPr>
          <w:rFonts w:ascii="Arial" w:hAnsi="Arial" w:eastAsia="宋体" w:cs="Arial"/>
          <w:bCs/>
          <w:color w:val="000000" w:themeColor="text1"/>
          <w:sz w:val="24"/>
          <w:szCs w:val="24"/>
          <w:u w:color="000000"/>
          <w:lang w:val="zh-TW" w:eastAsia="zh-TW"/>
          <w14:textFill>
            <w14:solidFill>
              <w14:schemeClr w14:val="tx1"/>
            </w14:solidFill>
          </w14:textFill>
        </w:rPr>
        <w:t>首次登录账号为学生学号，默认密码：123456</w:t>
      </w:r>
      <w:r>
        <w:rPr>
          <w:rFonts w:ascii="Arial" w:hAnsi="Arial" w:cs="Arial"/>
          <w:color w:val="000000" w:themeColor="text1"/>
          <w:sz w:val="24"/>
          <w:szCs w:val="24"/>
          <w:lang w:val="zh-TW"/>
          <w14:textFill>
            <w14:solidFill>
              <w14:schemeClr w14:val="tx1"/>
            </w14:solidFill>
          </w14:textFill>
        </w:rPr>
        <w:t>。</w:t>
      </w:r>
      <w:r>
        <w:rPr>
          <w:rFonts w:ascii="Arial" w:hAnsi="Arial" w:cs="Arial"/>
          <w:sz w:val="24"/>
          <w:szCs w:val="24"/>
          <w:lang w:val="zh-TW"/>
        </w:rPr>
        <w:t>网站示意图如下：</w:t>
      </w:r>
    </w:p>
    <w:p>
      <w:pPr>
        <w:spacing w:line="360" w:lineRule="auto"/>
        <w:jc w:val="center"/>
        <w:rPr>
          <w:rFonts w:ascii="Arial" w:hAnsi="Arial" w:cs="Arial"/>
          <w:lang w:val="zh-TW"/>
        </w:rPr>
      </w:pPr>
      <w:r>
        <w:rPr>
          <w:rFonts w:ascii="Arial" w:hAnsi="Arial" w:cs="Arial"/>
        </w:rPr>
        <w:drawing>
          <wp:inline distT="0" distB="0" distL="0" distR="0">
            <wp:extent cx="2820035" cy="2307590"/>
            <wp:effectExtent l="0" t="0" r="0" b="0"/>
            <wp:docPr id="1073741830"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0" name="officeArt objec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20470" cy="2307658"/>
                    </a:xfrm>
                    <a:prstGeom prst="rect">
                      <a:avLst/>
                    </a:prstGeom>
                    <a:ln>
                      <a:noFill/>
                    </a:ln>
                    <a:effectLst/>
                  </pic:spPr>
                </pic:pic>
              </a:graphicData>
            </a:graphic>
          </wp:inline>
        </w:drawing>
      </w:r>
    </w:p>
    <w:p>
      <w:pPr>
        <w:spacing w:line="360" w:lineRule="auto"/>
        <w:jc w:val="center"/>
        <w:rPr>
          <w:rFonts w:ascii="Arial" w:hAnsi="Arial" w:eastAsia="楷体" w:cs="Arial"/>
          <w:b/>
          <w:lang w:val="zh-TW"/>
        </w:rPr>
      </w:pPr>
      <w:r>
        <w:rPr>
          <w:rFonts w:ascii="Arial" w:hAnsi="Arial" w:eastAsia="楷体" w:cs="Arial"/>
          <w:b/>
          <w:lang w:val="zh-TW"/>
        </w:rPr>
        <w:t>河南交通职业技术学院网络教学平台网页示意图</w:t>
      </w:r>
    </w:p>
    <w:p>
      <w:pPr>
        <w:pStyle w:val="4"/>
        <w:rPr>
          <w:rFonts w:ascii="Arial" w:hAnsi="Arial" w:cs="Arial"/>
        </w:rPr>
      </w:pPr>
      <w:bookmarkStart w:id="7" w:name="_Toc23253"/>
      <w:r>
        <w:rPr>
          <w:rFonts w:ascii="Arial" w:hAnsi="Arial" w:cs="Arial"/>
        </w:rPr>
        <w:t>2.2.2 手机端学习站点</w:t>
      </w:r>
      <w:bookmarkEnd w:id="7"/>
    </w:p>
    <w:p>
      <w:pPr>
        <w:spacing w:line="360" w:lineRule="auto"/>
        <w:ind w:firstLine="420"/>
        <w:rPr>
          <w:rFonts w:ascii="Arial" w:hAnsi="Arial" w:cs="Arial"/>
          <w:sz w:val="24"/>
          <w:szCs w:val="24"/>
          <w:lang w:val="zh-TW"/>
        </w:rPr>
      </w:pPr>
      <w:r>
        <w:rPr>
          <w:rFonts w:ascii="Arial" w:hAnsi="Arial" w:cs="Arial"/>
          <w:sz w:val="24"/>
          <w:szCs w:val="24"/>
          <w:lang w:val="zh-TW"/>
        </w:rPr>
        <w:t>1</w:t>
      </w:r>
      <w:r>
        <w:rPr>
          <w:rFonts w:hint="eastAsia" w:ascii="Arial" w:hAnsi="Arial" w:cs="Arial"/>
          <w:sz w:val="24"/>
          <w:szCs w:val="24"/>
          <w:lang w:val="zh-TW"/>
        </w:rPr>
        <w:t>、扫描二维码下载安装“超星学习通”客户端。</w:t>
      </w:r>
    </w:p>
    <w:p>
      <w:pPr>
        <w:spacing w:line="360" w:lineRule="auto"/>
        <w:jc w:val="center"/>
        <w:rPr>
          <w:rFonts w:ascii="Arial" w:hAnsi="Arial" w:cs="Arial"/>
          <w:sz w:val="24"/>
          <w:szCs w:val="24"/>
          <w:lang w:val="zh-TW"/>
        </w:rPr>
      </w:pPr>
      <w:r>
        <w:rPr>
          <w:rFonts w:hint="eastAsia" w:ascii="Arial" w:hAnsi="Arial" w:cs="Arial"/>
          <w:sz w:val="24"/>
          <w:szCs w:val="24"/>
        </w:rPr>
        <w:drawing>
          <wp:inline distT="0" distB="0" distL="0" distR="0">
            <wp:extent cx="1447800"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47103" cy="1447103"/>
                    </a:xfrm>
                    <a:prstGeom prst="rect">
                      <a:avLst/>
                    </a:prstGeom>
                  </pic:spPr>
                </pic:pic>
              </a:graphicData>
            </a:graphic>
          </wp:inline>
        </w:drawing>
      </w:r>
    </w:p>
    <w:p>
      <w:pPr>
        <w:spacing w:line="360" w:lineRule="auto"/>
        <w:jc w:val="center"/>
        <w:rPr>
          <w:rFonts w:ascii="Arial" w:hAnsi="Arial" w:cs="Arial"/>
          <w:b/>
          <w:sz w:val="24"/>
          <w:szCs w:val="24"/>
          <w:lang w:val="zh-TW"/>
        </w:rPr>
      </w:pPr>
      <w:r>
        <w:rPr>
          <w:rFonts w:hint="eastAsia" w:ascii="Arial" w:hAnsi="Arial" w:cs="Arial"/>
          <w:b/>
          <w:sz w:val="24"/>
          <w:szCs w:val="24"/>
          <w:lang w:val="zh-TW"/>
        </w:rPr>
        <w:t>“超星学习通”APP下载二维码</w:t>
      </w:r>
    </w:p>
    <w:p>
      <w:pPr>
        <w:spacing w:line="360" w:lineRule="auto"/>
        <w:jc w:val="left"/>
        <w:rPr>
          <w:rFonts w:ascii="Arial" w:hAnsi="Arial" w:cs="Arial"/>
          <w:sz w:val="24"/>
          <w:szCs w:val="24"/>
          <w:lang w:val="zh-TW"/>
        </w:rPr>
      </w:pPr>
      <w:r>
        <w:rPr>
          <w:rFonts w:hint="eastAsia" w:ascii="Arial" w:hAnsi="Arial" w:cs="Arial"/>
          <w:sz w:val="24"/>
          <w:szCs w:val="24"/>
          <w:lang w:val="zh-TW"/>
        </w:rPr>
        <w:tab/>
      </w:r>
      <w:r>
        <w:rPr>
          <w:rFonts w:hint="eastAsia" w:ascii="Arial" w:hAnsi="Arial" w:cs="Arial"/>
          <w:sz w:val="24"/>
          <w:szCs w:val="24"/>
          <w:lang w:val="zh-TW"/>
        </w:rPr>
        <w:t>2、可通过已在电脑端绑定的邮箱或手机号登录，也可通过选择学校、学号登录。</w:t>
      </w:r>
    </w:p>
    <w:p>
      <w:pPr>
        <w:pStyle w:val="4"/>
        <w:rPr>
          <w:rFonts w:ascii="Arial" w:hAnsi="Arial" w:cs="Arial"/>
          <w:lang w:eastAsia="zh-CN"/>
        </w:rPr>
      </w:pPr>
      <w:bookmarkStart w:id="8" w:name="_Toc24260"/>
      <w:r>
        <w:rPr>
          <w:rFonts w:hint="eastAsia" w:ascii="Arial" w:hAnsi="Arial" w:cs="Arial"/>
          <w:lang w:eastAsia="zh-CN"/>
        </w:rPr>
        <w:t>2.2.3 使用终端占比</w:t>
      </w:r>
      <w:bookmarkEnd w:id="8"/>
    </w:p>
    <w:p>
      <w:pPr>
        <w:spacing w:line="360" w:lineRule="auto"/>
        <w:ind w:firstLine="420"/>
        <w:rPr>
          <w:rFonts w:ascii="Arial" w:hAnsi="Arial" w:cs="Arial"/>
          <w:sz w:val="24"/>
          <w:szCs w:val="24"/>
          <w:highlight w:val="none"/>
          <w:lang w:val="zh-TW"/>
        </w:rPr>
      </w:pPr>
      <w:r>
        <w:rPr>
          <w:rFonts w:hint="eastAsia" w:ascii="Arial" w:hAnsi="Arial" w:cs="Arial"/>
          <w:sz w:val="24"/>
          <w:szCs w:val="24"/>
          <w:lang w:val="zh-TW"/>
        </w:rPr>
        <w:t>根据教学后台数据显示，贵校学生的终端使用情况如下图所示：</w:t>
      </w:r>
      <w:r>
        <w:rPr>
          <w:rFonts w:hint="eastAsia" w:ascii="Arial" w:hAnsi="Arial" w:cs="Arial"/>
          <w:sz w:val="24"/>
          <w:szCs w:val="24"/>
          <w:highlight w:val="none"/>
          <w:lang w:val="zh-TW"/>
        </w:rPr>
        <w:t>“超星学习通”A</w:t>
      </w:r>
      <w:r>
        <w:rPr>
          <w:rFonts w:ascii="Arial" w:hAnsi="Arial" w:cs="Arial"/>
          <w:sz w:val="24"/>
          <w:szCs w:val="24"/>
          <w:highlight w:val="none"/>
          <w:lang w:val="zh-TW"/>
        </w:rPr>
        <w:t>p</w:t>
      </w:r>
      <w:r>
        <w:rPr>
          <w:rFonts w:hint="eastAsia" w:ascii="Arial" w:hAnsi="Arial" w:cs="Arial"/>
          <w:sz w:val="24"/>
          <w:szCs w:val="24"/>
          <w:highlight w:val="none"/>
          <w:lang w:val="zh-TW"/>
        </w:rPr>
        <w:t>p的使用情况占比超过</w:t>
      </w:r>
      <w:r>
        <w:rPr>
          <w:rFonts w:hint="eastAsia" w:ascii="Arial" w:hAnsi="Arial" w:cs="Arial"/>
          <w:sz w:val="24"/>
          <w:szCs w:val="24"/>
          <w:highlight w:val="none"/>
          <w:lang w:val="en-US" w:eastAsia="zh-CN"/>
        </w:rPr>
        <w:t>8</w:t>
      </w:r>
      <w:r>
        <w:rPr>
          <w:rFonts w:hint="eastAsia" w:ascii="Arial" w:hAnsi="Arial" w:cs="Arial"/>
          <w:sz w:val="24"/>
          <w:szCs w:val="24"/>
          <w:highlight w:val="none"/>
          <w:lang w:val="zh-TW"/>
        </w:rPr>
        <w:t>0%，移动学习已成为贵校学生学习尔雅通识课的主要方式。</w:t>
      </w:r>
    </w:p>
    <w:p>
      <w:pPr>
        <w:spacing w:line="360" w:lineRule="auto"/>
        <w:jc w:val="center"/>
        <w:rPr>
          <w:rFonts w:ascii="Arial" w:hAnsi="Arial" w:cs="Arial"/>
          <w:sz w:val="24"/>
          <w:szCs w:val="24"/>
          <w:lang w:val="zh-TW"/>
        </w:rPr>
      </w:pPr>
      <w:r>
        <w:rPr>
          <w:rFonts w:ascii="Arial" w:hAnsi="Arial" w:cs="Arial"/>
          <w:sz w:val="24"/>
          <w:szCs w:val="24"/>
        </w:rPr>
        <w:drawing>
          <wp:inline distT="0" distB="0" distL="0" distR="0">
            <wp:extent cx="5229225" cy="2562225"/>
            <wp:effectExtent l="0" t="0" r="9525" b="952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360" w:lineRule="auto"/>
        <w:jc w:val="center"/>
        <w:rPr>
          <w:rFonts w:ascii="Arial" w:hAnsi="Arial" w:eastAsia="楷体" w:cs="Arial"/>
          <w:b/>
          <w:lang w:val="zh-TW"/>
        </w:rPr>
      </w:pPr>
      <w:r>
        <w:rPr>
          <w:rFonts w:hint="eastAsia" w:ascii="Arial" w:hAnsi="Arial" w:eastAsia="楷体" w:cs="Arial"/>
          <w:b/>
          <w:lang w:val="zh-TW"/>
        </w:rPr>
        <w:t>学生学习尔雅通识课时的终端占比情况</w:t>
      </w:r>
    </w:p>
    <w:p>
      <w:pPr>
        <w:pStyle w:val="3"/>
        <w:rPr>
          <w:rFonts w:ascii="Arial" w:hAnsi="Arial" w:cs="Arial"/>
        </w:rPr>
      </w:pPr>
      <w:bookmarkStart w:id="9" w:name="_Toc133"/>
      <w:r>
        <w:rPr>
          <w:rFonts w:ascii="Arial" w:hAnsi="Arial" w:cs="Arial"/>
        </w:rPr>
        <w:t>2.3 教学安排</w:t>
      </w:r>
      <w:bookmarkEnd w:id="9"/>
    </w:p>
    <w:p>
      <w:pPr>
        <w:spacing w:line="360" w:lineRule="auto"/>
        <w:rPr>
          <w:rFonts w:ascii="Arial" w:hAnsi="Arial" w:cs="Arial"/>
          <w:sz w:val="24"/>
          <w:szCs w:val="24"/>
        </w:rPr>
      </w:pPr>
      <w:r>
        <w:rPr>
          <w:rFonts w:ascii="Arial" w:hAnsi="Arial" w:cs="Arial"/>
        </w:rPr>
        <w:drawing>
          <wp:inline distT="0" distB="0" distL="0" distR="0">
            <wp:extent cx="546100" cy="16510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pic:nvPicPr>
                  <pic:blipFill>
                    <a:blip r:embed="rId12" cstate="print"/>
                    <a:stretch>
                      <a:fillRect/>
                    </a:stretch>
                  </pic:blipFill>
                  <pic:spPr>
                    <a:xfrm>
                      <a:off x="0" y="0"/>
                      <a:ext cx="546100" cy="165100"/>
                    </a:xfrm>
                    <a:prstGeom prst="rect">
                      <a:avLst/>
                    </a:prstGeom>
                    <a:ln w="12700" cap="flat">
                      <a:noFill/>
                      <a:miter lim="400000"/>
                      <a:headEnd/>
                      <a:tailEnd/>
                    </a:ln>
                    <a:effectLst/>
                  </pic:spPr>
                </pic:pic>
              </a:graphicData>
            </a:graphic>
          </wp:inline>
        </w:drawing>
      </w:r>
      <w:r>
        <w:rPr>
          <w:rFonts w:ascii="Arial" w:hAnsi="Arial" w:cs="Arial"/>
          <w:sz w:val="24"/>
          <w:szCs w:val="24"/>
          <w:lang w:val="zh-TW"/>
        </w:rPr>
        <w:t xml:space="preserve">课程学习：2018年4月9日-2018年6月1日 </w:t>
      </w:r>
      <w:r>
        <w:rPr>
          <w:rFonts w:ascii="Arial" w:hAnsi="Arial" w:cs="Arial"/>
          <w:sz w:val="24"/>
          <w:szCs w:val="24"/>
        </w:rPr>
        <w:t xml:space="preserve"> </w:t>
      </w:r>
    </w:p>
    <w:p>
      <w:pPr>
        <w:spacing w:line="360" w:lineRule="auto"/>
        <w:jc w:val="left"/>
        <w:rPr>
          <w:rFonts w:ascii="Arial" w:hAnsi="Arial" w:cs="Arial"/>
          <w:lang w:val="zh-TW"/>
        </w:rPr>
      </w:pPr>
      <w:r>
        <w:rPr>
          <w:rFonts w:ascii="Arial" w:hAnsi="Arial" w:cs="Arial"/>
        </w:rPr>
        <w:drawing>
          <wp:inline distT="0" distB="0" distL="0" distR="0">
            <wp:extent cx="539750" cy="139700"/>
            <wp:effectExtent l="0" t="0" r="0" b="0"/>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officeArt object"/>
                    <pic:cNvPicPr/>
                  </pic:nvPicPr>
                  <pic:blipFill>
                    <a:blip r:embed="rId13" cstate="print"/>
                    <a:stretch>
                      <a:fillRect/>
                    </a:stretch>
                  </pic:blipFill>
                  <pic:spPr>
                    <a:xfrm>
                      <a:off x="0" y="0"/>
                      <a:ext cx="540000" cy="139700"/>
                    </a:xfrm>
                    <a:prstGeom prst="rect">
                      <a:avLst/>
                    </a:prstGeom>
                    <a:ln w="12700" cap="flat">
                      <a:noFill/>
                      <a:miter lim="400000"/>
                      <a:headEnd/>
                      <a:tailEnd/>
                    </a:ln>
                    <a:effectLst/>
                  </pic:spPr>
                </pic:pic>
              </a:graphicData>
            </a:graphic>
          </wp:inline>
        </w:drawing>
      </w:r>
      <w:r>
        <w:rPr>
          <w:rFonts w:ascii="Arial" w:hAnsi="Arial" w:cs="Arial"/>
          <w:sz w:val="24"/>
          <w:szCs w:val="24"/>
          <w:lang w:val="zh-TW"/>
        </w:rPr>
        <w:t>课程考试：2018年6月2日-2018年6月18日</w:t>
      </w:r>
    </w:p>
    <w:tbl>
      <w:tblPr>
        <w:tblStyle w:val="20"/>
        <w:tblW w:w="7933" w:type="dxa"/>
        <w:jc w:val="center"/>
        <w:tblInd w:w="3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1"/>
        <w:gridCol w:w="991"/>
        <w:gridCol w:w="991"/>
        <w:gridCol w:w="992"/>
        <w:gridCol w:w="992"/>
        <w:gridCol w:w="992"/>
        <w:gridCol w:w="992"/>
        <w:gridCol w:w="99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restart"/>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2018年</w:t>
            </w:r>
            <w:r>
              <w:rPr>
                <w:rFonts w:hint="eastAsia" w:ascii="宋体" w:hAnsi="宋体"/>
                <w:b/>
                <w:bCs/>
                <w:kern w:val="0"/>
                <w:sz w:val="20"/>
                <w:szCs w:val="20"/>
              </w:rPr>
              <w:br w:type="textWrapping"/>
            </w:r>
            <w:r>
              <w:rPr>
                <w:rFonts w:hint="eastAsia" w:ascii="宋体" w:hAnsi="宋体"/>
                <w:b/>
                <w:bCs/>
                <w:kern w:val="0"/>
                <w:sz w:val="20"/>
                <w:szCs w:val="20"/>
              </w:rPr>
              <w:t>4月</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日</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一</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二</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三</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四</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五</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w:t>
            </w: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3</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4</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5</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6</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8</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9</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10</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11</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12</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13</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15</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16</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17</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18</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19</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22</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23</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24</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25</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26</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27</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29</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30</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restart"/>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2018年</w:t>
            </w:r>
            <w:r>
              <w:rPr>
                <w:rFonts w:hint="eastAsia" w:ascii="宋体" w:hAnsi="宋体"/>
                <w:b/>
                <w:bCs/>
                <w:kern w:val="0"/>
                <w:sz w:val="20"/>
                <w:szCs w:val="20"/>
              </w:rPr>
              <w:br w:type="textWrapping"/>
            </w:r>
            <w:r>
              <w:rPr>
                <w:rFonts w:hint="eastAsia" w:ascii="宋体" w:hAnsi="宋体"/>
                <w:b/>
                <w:bCs/>
                <w:kern w:val="0"/>
                <w:sz w:val="20"/>
                <w:szCs w:val="20"/>
              </w:rPr>
              <w:t>5月</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日</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一</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二</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三</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四</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五</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3</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4</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6</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7</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8</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9</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10</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11</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13</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14</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15</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16</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17</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18</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20</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21</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22</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23</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24</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25</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27</w:t>
            </w:r>
          </w:p>
        </w:tc>
        <w:tc>
          <w:tcPr>
            <w:tcW w:w="991"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28</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29</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30</w:t>
            </w: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31</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restart"/>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2018年</w:t>
            </w:r>
            <w:r>
              <w:rPr>
                <w:rFonts w:hint="eastAsia" w:ascii="宋体" w:hAnsi="宋体"/>
                <w:b/>
                <w:bCs/>
                <w:kern w:val="0"/>
                <w:sz w:val="20"/>
                <w:szCs w:val="20"/>
              </w:rPr>
              <w:br w:type="textWrapping"/>
            </w:r>
            <w:r>
              <w:rPr>
                <w:rFonts w:hint="eastAsia" w:ascii="宋体" w:hAnsi="宋体"/>
                <w:b/>
                <w:bCs/>
                <w:kern w:val="0"/>
                <w:sz w:val="20"/>
                <w:szCs w:val="20"/>
              </w:rPr>
              <w:t>6月</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日</w:t>
            </w:r>
          </w:p>
        </w:tc>
        <w:tc>
          <w:tcPr>
            <w:tcW w:w="991"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一</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二</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三</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四</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五</w:t>
            </w:r>
          </w:p>
        </w:tc>
        <w:tc>
          <w:tcPr>
            <w:tcW w:w="992" w:type="dxa"/>
            <w:tcBorders>
              <w:top w:val="outset" w:color="auto" w:sz="6" w:space="0"/>
              <w:left w:val="outset" w:color="auto" w:sz="6" w:space="0"/>
              <w:bottom w:val="outset" w:color="auto" w:sz="6" w:space="0"/>
              <w:right w:val="outset" w:color="auto" w:sz="6" w:space="0"/>
            </w:tcBorders>
            <w:shd w:val="clear" w:color="auto" w:fill="969696"/>
            <w:vAlign w:val="center"/>
          </w:tcPr>
          <w:p>
            <w:pPr>
              <w:widowControl/>
              <w:jc w:val="center"/>
              <w:rPr>
                <w:rFonts w:ascii="宋体" w:hAnsi="宋体" w:eastAsia="宋体"/>
                <w:b/>
                <w:bCs/>
                <w:kern w:val="0"/>
                <w:sz w:val="20"/>
                <w:szCs w:val="20"/>
              </w:rPr>
            </w:pPr>
            <w:r>
              <w:rPr>
                <w:rFonts w:hint="eastAsia" w:ascii="宋体" w:hAnsi="宋体"/>
                <w:b/>
                <w:bCs/>
                <w:kern w:val="0"/>
                <w:sz w:val="20"/>
                <w:szCs w:val="20"/>
              </w:rPr>
              <w:t>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2" w:type="dxa"/>
            <w:tcBorders>
              <w:top w:val="outset" w:color="auto" w:sz="6" w:space="0"/>
              <w:left w:val="outset" w:color="auto" w:sz="6" w:space="0"/>
              <w:bottom w:val="outset" w:color="auto" w:sz="6" w:space="0"/>
              <w:right w:val="outset" w:color="auto" w:sz="6" w:space="0"/>
            </w:tcBorders>
            <w:shd w:val="clear" w:color="auto" w:fill="92D05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3</w:t>
            </w: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4</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5</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6</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7</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8</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10</w:t>
            </w: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11</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12</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13</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14</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15</w:t>
            </w:r>
          </w:p>
        </w:tc>
        <w:tc>
          <w:tcPr>
            <w:tcW w:w="992"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17</w:t>
            </w:r>
          </w:p>
        </w:tc>
        <w:tc>
          <w:tcPr>
            <w:tcW w:w="991" w:type="dxa"/>
            <w:tcBorders>
              <w:top w:val="outset" w:color="auto" w:sz="6" w:space="0"/>
              <w:left w:val="outset" w:color="auto" w:sz="6" w:space="0"/>
              <w:bottom w:val="outset" w:color="auto" w:sz="6" w:space="0"/>
              <w:right w:val="outset" w:color="auto" w:sz="6" w:space="0"/>
            </w:tcBorders>
            <w:shd w:val="clear" w:color="auto" w:fill="FFC000"/>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18</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19</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20</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21</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22</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83" w:hRule="atLeast"/>
          <w:jc w:val="center"/>
        </w:trPr>
        <w:tc>
          <w:tcPr>
            <w:tcW w:w="991" w:type="dxa"/>
            <w:vMerge w:val="continue"/>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24</w:t>
            </w:r>
          </w:p>
        </w:tc>
        <w:tc>
          <w:tcPr>
            <w:tcW w:w="99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25</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26</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27</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28</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kern w:val="0"/>
                <w:sz w:val="20"/>
                <w:szCs w:val="20"/>
              </w:rPr>
              <w:t>29</w:t>
            </w:r>
          </w:p>
        </w:tc>
        <w:tc>
          <w:tcPr>
            <w:tcW w:w="99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eastAsia="宋体"/>
                <w:b/>
                <w:bCs/>
                <w:kern w:val="0"/>
                <w:sz w:val="20"/>
                <w:szCs w:val="20"/>
              </w:rPr>
            </w:pPr>
            <w:r>
              <w:rPr>
                <w:rFonts w:hint="eastAsia" w:ascii="宋体" w:hAnsi="宋体"/>
                <w:b/>
                <w:bCs/>
                <w:color w:val="FF0000"/>
                <w:kern w:val="0"/>
                <w:sz w:val="20"/>
                <w:szCs w:val="20"/>
              </w:rPr>
              <w:t>30</w:t>
            </w:r>
          </w:p>
        </w:tc>
      </w:tr>
    </w:tbl>
    <w:p>
      <w:pPr>
        <w:spacing w:line="360" w:lineRule="auto"/>
        <w:jc w:val="center"/>
        <w:rPr>
          <w:rFonts w:ascii="Arial" w:hAnsi="Arial" w:eastAsia="楷体" w:cs="Arial"/>
          <w:b/>
          <w:lang w:val="zh-TW"/>
        </w:rPr>
      </w:pPr>
      <w:r>
        <w:rPr>
          <w:rFonts w:ascii="Arial" w:hAnsi="Arial" w:eastAsia="楷体" w:cs="Arial"/>
          <w:b/>
          <w:lang w:val="zh-TW"/>
        </w:rPr>
        <w:t>河南交通职业技术学院超星尔雅网络通识课程教学安排表</w:t>
      </w:r>
    </w:p>
    <w:p>
      <w:pPr>
        <w:pStyle w:val="2"/>
        <w:rPr>
          <w:rFonts w:ascii="Arial" w:hAnsi="Arial" w:cs="Arial"/>
        </w:rPr>
      </w:pPr>
      <w:bookmarkStart w:id="10" w:name="_Toc3720"/>
      <w:r>
        <w:rPr>
          <w:rFonts w:ascii="Arial" w:hAnsi="Arial" w:cs="Arial"/>
        </w:rPr>
        <w:t>课程运行情况分析</w:t>
      </w:r>
      <w:bookmarkEnd w:id="10"/>
    </w:p>
    <w:p>
      <w:pPr>
        <w:pStyle w:val="3"/>
        <w:rPr>
          <w:rFonts w:ascii="Arial" w:hAnsi="Arial" w:cs="Arial"/>
        </w:rPr>
      </w:pPr>
      <w:bookmarkStart w:id="11" w:name="_Toc22238"/>
      <w:r>
        <w:rPr>
          <w:rFonts w:ascii="Arial" w:hAnsi="Arial" w:cs="Arial"/>
        </w:rPr>
        <w:t>3.1 学生选课情况</w:t>
      </w:r>
      <w:bookmarkEnd w:id="11"/>
    </w:p>
    <w:p>
      <w:pPr>
        <w:spacing w:line="360" w:lineRule="auto"/>
        <w:ind w:firstLine="480" w:firstLineChars="200"/>
        <w:jc w:val="left"/>
        <w:rPr>
          <w:rFonts w:ascii="Arial" w:hAnsi="Arial" w:cs="Arial"/>
          <w:sz w:val="24"/>
          <w:lang w:val="zh-TW"/>
        </w:rPr>
      </w:pPr>
      <w:r>
        <w:rPr>
          <w:rFonts w:ascii="Arial" w:hAnsi="Arial" w:cs="Arial"/>
          <w:sz w:val="24"/>
          <w:lang w:val="zh-TW"/>
        </w:rPr>
        <w:t>2018年春季学期，贵校共有6803名学生选修了70门尔雅通识课，总选课量为17299人次，人均选课量是2.5门。其中，选课人数最多的5门课程分别是：《大学生公民素质教育》（3233人）、《形势与政策（2018年春）》（2331人）、《大学生安全教育（新版）》（2188人）、《军事理论（南开版）》（1868人）、《大学生创业基础》（1855人）。</w:t>
      </w:r>
    </w:p>
    <w:p>
      <w:pPr>
        <w:spacing w:line="360" w:lineRule="auto"/>
        <w:ind w:firstLine="480" w:firstLineChars="200"/>
        <w:jc w:val="left"/>
        <w:rPr>
          <w:rFonts w:ascii="Arial" w:hAnsi="Arial" w:cs="Arial"/>
          <w:sz w:val="24"/>
          <w:lang w:val="zh-TW"/>
        </w:rPr>
      </w:pPr>
      <w:r>
        <w:rPr>
          <w:rFonts w:ascii="Arial" w:hAnsi="Arial" w:cs="Arial"/>
          <w:sz w:val="24"/>
          <w:lang w:val="zh-TW"/>
        </w:rPr>
        <w:t>下图为本学期</w:t>
      </w:r>
      <w:r>
        <w:rPr>
          <w:rFonts w:hint="eastAsia" w:ascii="Arial" w:hAnsi="Arial" w:cs="Arial"/>
          <w:sz w:val="24"/>
          <w:lang w:val="zh-TW"/>
        </w:rPr>
        <w:t>中，贵校尔雅通识课</w:t>
      </w:r>
      <w:r>
        <w:rPr>
          <w:rFonts w:ascii="Arial" w:hAnsi="Arial" w:cs="Arial"/>
          <w:sz w:val="24"/>
          <w:lang w:val="zh-TW"/>
        </w:rPr>
        <w:t>选课量排名前20</w:t>
      </w:r>
      <w:r>
        <w:rPr>
          <w:rFonts w:hint="eastAsia" w:ascii="Arial" w:hAnsi="Arial" w:cs="Arial"/>
          <w:sz w:val="24"/>
          <w:lang w:val="zh-TW"/>
        </w:rPr>
        <w:t>的选课</w:t>
      </w:r>
      <w:r>
        <w:rPr>
          <w:rFonts w:ascii="Arial" w:hAnsi="Arial" w:cs="Arial"/>
          <w:sz w:val="24"/>
          <w:lang w:val="zh-TW"/>
        </w:rPr>
        <w:t>情况：</w:t>
      </w:r>
    </w:p>
    <w:p>
      <w:pPr>
        <w:spacing w:line="360" w:lineRule="auto"/>
        <w:jc w:val="center"/>
        <w:rPr>
          <w:rFonts w:ascii="Arial" w:hAnsi="Arial" w:cs="Arial"/>
          <w:sz w:val="24"/>
          <w:lang w:val="zh-TW"/>
        </w:rPr>
      </w:pPr>
      <w:r>
        <w:rPr>
          <w:rFonts w:ascii="Arial" w:hAnsi="Arial" w:cs="Arial"/>
          <w:sz w:val="24"/>
        </w:rPr>
        <w:drawing>
          <wp:inline distT="0" distB="0" distL="0" distR="0">
            <wp:extent cx="4674235" cy="4759960"/>
            <wp:effectExtent l="0" t="0" r="12065" b="21590"/>
            <wp:docPr id="42" name="图表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360" w:lineRule="auto"/>
        <w:jc w:val="center"/>
        <w:rPr>
          <w:rFonts w:ascii="Arial" w:hAnsi="Arial" w:eastAsia="楷体" w:cs="Arial"/>
          <w:b/>
          <w:lang w:val="zh-TW"/>
        </w:rPr>
      </w:pPr>
      <w:r>
        <w:rPr>
          <w:rFonts w:ascii="Arial" w:hAnsi="Arial" w:eastAsia="楷体" w:cs="Arial"/>
          <w:b/>
          <w:lang w:val="zh-TW"/>
        </w:rPr>
        <w:t>2018春季学期</w:t>
      </w:r>
      <w:r>
        <w:rPr>
          <w:rFonts w:hint="eastAsia" w:ascii="Arial" w:hAnsi="Arial" w:eastAsia="楷体" w:cs="Arial"/>
          <w:b/>
          <w:lang w:val="zh-TW"/>
        </w:rPr>
        <w:t>，河南交通职业技术学院</w:t>
      </w:r>
      <w:r>
        <w:rPr>
          <w:rFonts w:ascii="Arial" w:hAnsi="Arial" w:eastAsia="楷体" w:cs="Arial"/>
          <w:b/>
          <w:lang w:val="zh-TW"/>
        </w:rPr>
        <w:t>选课量前20的</w:t>
      </w:r>
      <w:r>
        <w:rPr>
          <w:rFonts w:hint="eastAsia" w:ascii="Arial" w:hAnsi="Arial" w:eastAsia="楷体" w:cs="Arial"/>
          <w:b/>
          <w:lang w:val="zh-TW"/>
        </w:rPr>
        <w:t>尔雅通识课</w:t>
      </w:r>
    </w:p>
    <w:p>
      <w:pPr>
        <w:pBdr>
          <w:top w:val="none" w:color="auto" w:sz="0" w:space="0"/>
          <w:left w:val="none" w:color="auto" w:sz="0" w:space="0"/>
          <w:bottom w:val="none" w:color="auto" w:sz="0" w:space="0"/>
          <w:right w:val="none" w:color="auto" w:sz="0" w:space="0"/>
          <w:between w:val="none" w:color="auto" w:sz="0" w:space="0"/>
        </w:pBdr>
        <w:spacing w:line="360" w:lineRule="auto"/>
        <w:ind w:firstLine="424" w:firstLineChars="193"/>
        <w:jc w:val="left"/>
        <w:rPr>
          <w:rFonts w:ascii="Arial" w:hAnsi="Arial" w:eastAsia="楷体" w:cs="Arial"/>
          <w:color w:val="A36520" w:themeColor="accent2" w:themeShade="BF"/>
          <w:sz w:val="22"/>
          <w:szCs w:val="24"/>
          <w:lang w:val="zh-TW"/>
        </w:rPr>
      </w:pPr>
      <w:r>
        <w:rPr>
          <w:rFonts w:ascii="Arial" w:hAnsi="Arial" w:eastAsia="楷体" w:cs="Arial"/>
          <w:color w:val="A36520" w:themeColor="accent2" w:themeShade="BF"/>
          <w:sz w:val="22"/>
          <w:szCs w:val="24"/>
          <w:lang w:val="zh-TW"/>
        </w:rPr>
        <w:t>【说明：各课程的选课详情请参阅本报告的附录1《学校选课清单》】</w:t>
      </w:r>
    </w:p>
    <w:p>
      <w:pPr>
        <w:pStyle w:val="4"/>
        <w:rPr>
          <w:rFonts w:ascii="Arial" w:hAnsi="Arial" w:cs="Arial"/>
        </w:rPr>
      </w:pPr>
      <w:bookmarkStart w:id="12" w:name="_Toc557"/>
      <w:r>
        <w:rPr>
          <w:rFonts w:ascii="Arial" w:hAnsi="Arial" w:cs="Arial"/>
        </w:rPr>
        <w:t>3.1.1 各院系学生选课情况</w:t>
      </w:r>
      <w:bookmarkEnd w:id="12"/>
    </w:p>
    <w:p>
      <w:pPr>
        <w:spacing w:line="360" w:lineRule="auto"/>
        <w:ind w:firstLine="420" w:firstLineChars="200"/>
        <w:rPr>
          <w:rFonts w:ascii="Arial" w:hAnsi="Arial" w:cs="Arial"/>
          <w:lang w:val="zh-TW"/>
        </w:rPr>
      </w:pPr>
      <w:r>
        <w:rPr>
          <w:rFonts w:ascii="Arial" w:hAnsi="Arial" w:cs="Arial"/>
          <w:lang w:val="zh-TW"/>
        </w:rPr>
        <w:t>贵校各院系学生的选课情况如下：</w:t>
      </w:r>
    </w:p>
    <w:tbl>
      <w:tblPr>
        <w:tblStyle w:val="30"/>
        <w:tblW w:w="64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5"/>
        <w:gridCol w:w="2866"/>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1755" w:type="dxa"/>
            <w:tcBorders>
              <w:top w:val="nil"/>
              <w:left w:val="nil"/>
              <w:bottom w:val="nil"/>
              <w:right w:val="single" w:color="FFFFFF" w:themeColor="background1" w:sz="8" w:space="0"/>
              <w:insideH w:val="nil"/>
              <w:insideV w:val="single" w:sz="8" w:space="0"/>
            </w:tcBorders>
            <w:shd w:val="clear" w:color="auto" w:fill="65281A" w:themeFill="accent1" w:themeFillShade="BF"/>
            <w:vAlign w:val="center"/>
          </w:tcPr>
          <w:p>
            <w:pPr>
              <w:spacing w:line="360" w:lineRule="auto"/>
              <w:jc w:val="center"/>
              <w:rPr>
                <w:rFonts w:ascii="Arial" w:hAnsi="Arial" w:eastAsia="黑体" w:cs="Arial"/>
                <w:b/>
                <w:bCs/>
                <w:i w:val="0"/>
                <w:iCs w:val="0"/>
                <w:color w:val="FFFFFF" w:themeColor="background1"/>
                <w:szCs w:val="21"/>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65281A" w:themeFill="accent1" w:themeFillShade="BF"/>
            <w:vAlign w:val="center"/>
          </w:tcPr>
          <w:p>
            <w:pPr>
              <w:spacing w:line="360" w:lineRule="auto"/>
              <w:jc w:val="center"/>
              <w:rPr>
                <w:rFonts w:ascii="Arial" w:hAnsi="Arial" w:eastAsia="黑体" w:cs="Arial"/>
                <w:b/>
                <w:bCs/>
                <w:i w:val="0"/>
                <w:iCs w:val="0"/>
                <w:color w:val="FFFFFF" w:themeColor="background1"/>
                <w:szCs w:val="21"/>
                <w14:textFill>
                  <w14:solidFill>
                    <w14:schemeClr w14:val="bg1"/>
                  </w14:solidFill>
                </w14:textFill>
              </w:rPr>
            </w:pPr>
            <w:r>
              <w:rPr>
                <w:rFonts w:ascii="Arial" w:hAnsi="Arial" w:eastAsia="黑体" w:cs="Arial"/>
                <w:b/>
                <w:bCs/>
                <w:i w:val="0"/>
                <w:iCs w:val="0"/>
                <w:color w:val="FFFFFF" w:themeColor="background1"/>
                <w:szCs w:val="21"/>
                <w:u w:color="000000"/>
                <w:lang w:val="zh-TW"/>
                <w14:textFill>
                  <w14:solidFill>
                    <w14:schemeClr w14:val="bg1"/>
                  </w14:solidFill>
                </w14:textFill>
              </w:rPr>
              <w:t>院系名称</w:t>
            </w:r>
          </w:p>
        </w:tc>
        <w:tc>
          <w:tcPr>
            <w:tcW w:w="1868" w:type="dxa"/>
            <w:tcBorders>
              <w:top w:val="nil"/>
              <w:left w:val="nil"/>
              <w:bottom w:val="nil"/>
              <w:right w:val="nil"/>
              <w:insideV w:val="single" w:sz="8" w:space="0"/>
            </w:tcBorders>
            <w:shd w:val="clear" w:color="auto" w:fill="65281A" w:themeFill="accent1" w:themeFillShade="BF"/>
            <w:vAlign w:val="center"/>
          </w:tcPr>
          <w:p>
            <w:pPr>
              <w:spacing w:line="360" w:lineRule="auto"/>
              <w:jc w:val="center"/>
              <w:rPr>
                <w:rFonts w:ascii="Arial" w:hAnsi="Arial" w:eastAsia="黑体" w:cs="Arial"/>
                <w:b/>
                <w:bCs/>
                <w:i w:val="0"/>
                <w:iCs w:val="0"/>
                <w:color w:val="FFFFFF" w:themeColor="background1"/>
                <w:szCs w:val="21"/>
                <w14:textFill>
                  <w14:solidFill>
                    <w14:schemeClr w14:val="bg1"/>
                  </w14:solidFill>
                </w14:textFill>
              </w:rPr>
            </w:pPr>
            <w:r>
              <w:rPr>
                <w:rFonts w:ascii="Arial" w:hAnsi="Arial" w:eastAsia="黑体" w:cs="Arial"/>
                <w:b/>
                <w:bCs/>
                <w:i w:val="0"/>
                <w:iCs w:val="0"/>
                <w:color w:val="FFFFFF" w:themeColor="background1"/>
                <w:szCs w:val="21"/>
                <w:u w:color="000000"/>
                <w:lang w:val="zh-TW" w:eastAsia="zh-TW"/>
                <w14:textFill>
                  <w14:solidFill>
                    <w14:schemeClr w14:val="bg1"/>
                  </w14:solidFill>
                </w14:textFill>
              </w:rPr>
              <w:t>选课人次数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restart"/>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r>
              <w:rPr>
                <w:rFonts w:ascii="Arial" w:hAnsi="Arial" w:eastAsia="黑体" w:cs="Arial"/>
                <w:b/>
                <w:bCs/>
                <w:i w:val="0"/>
                <w:iCs w:val="0"/>
                <w:color w:val="000000" w:themeColor="text1"/>
                <w:szCs w:val="21"/>
                <w:u w:color="000000"/>
                <w14:textFill>
                  <w14:solidFill>
                    <w14:schemeClr w14:val="tx1"/>
                  </w14:solidFill>
                </w14:textFill>
              </w:rPr>
              <w:t>院系</w:t>
            </w: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汽车学院</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5039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物流学院</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2999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公路学院</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2595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交通信息工程系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2425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建筑工程系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1887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轨道交通学院</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商务旅游系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航运海事系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vMerge w:val="continue"/>
            <w:tcBorders>
              <w:top w:val="nil"/>
              <w:left w:val="nil"/>
              <w:bottom w:val="nil"/>
              <w:right w:val="single" w:color="FFFFFF" w:themeColor="background1" w:sz="8" w:space="0"/>
              <w:insideH w:val="nil"/>
              <w:insideV w:val="single" w:sz="8" w:space="0"/>
            </w:tcBorders>
            <w:shd w:val="clear" w:color="auto" w:fill="D6862D" w:themeFill="accent2"/>
            <w:vAlign w:val="center"/>
          </w:tcPr>
          <w:p>
            <w:pPr>
              <w:spacing w:line="240" w:lineRule="auto"/>
              <w:jc w:val="center"/>
              <w:rPr>
                <w:rFonts w:ascii="Arial" w:hAnsi="Arial" w:eastAsia="黑体" w:cs="Arial"/>
                <w:b/>
                <w:bCs/>
                <w:i w:val="0"/>
                <w:iCs w:val="0"/>
                <w:color w:val="FFFFFF" w:themeColor="background1"/>
                <w:szCs w:val="21"/>
                <w:u w:color="000000"/>
                <w14:textFill>
                  <w14:solidFill>
                    <w14:schemeClr w14:val="bg1"/>
                  </w14:solidFill>
                </w14:textFill>
              </w:rPr>
            </w:pPr>
          </w:p>
        </w:tc>
        <w:tc>
          <w:tcPr>
            <w:tcW w:w="2866" w:type="dxa"/>
            <w:tcBorders>
              <w:top w:val="nil"/>
              <w:left w:val="nil"/>
              <w:bottom w:val="nil"/>
              <w:right w:val="single" w:color="FFFFFF" w:themeColor="background1" w:sz="8" w:space="0"/>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其他院系</w:t>
            </w:r>
          </w:p>
        </w:tc>
        <w:tc>
          <w:tcPr>
            <w:tcW w:w="1868" w:type="dxa"/>
            <w:tcBorders>
              <w:top w:val="nil"/>
              <w:left w:val="nil"/>
              <w:bottom w:val="nil"/>
              <w:right w:val="nil"/>
              <w:insideV w:val="single" w:sz="8" w:space="0"/>
            </w:tcBorders>
            <w:shd w:val="clear" w:color="auto" w:fill="FFFFFF" w:themeFill="background1"/>
            <w:vAlign w:val="center"/>
          </w:tcPr>
          <w:p>
            <w:pPr>
              <w:spacing w:line="240" w:lineRule="auto"/>
              <w:jc w:val="center"/>
              <w:rPr>
                <w:rFonts w:ascii="Arial" w:hAnsi="Arial" w:cs="Arial"/>
                <w:szCs w:val="21"/>
              </w:rPr>
            </w:pPr>
            <w:r>
              <w:rPr>
                <w:rFonts w:ascii="Arial" w:hAnsi="Arial" w:cs="Arial"/>
                <w:szCs w:val="21"/>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1755" w:type="dxa"/>
            <w:tcBorders>
              <w:left w:val="nil"/>
              <w:right w:val="nil"/>
              <w:insideH w:val="nil"/>
            </w:tcBorders>
            <w:shd w:val="clear" w:color="auto" w:fill="664515" w:themeFill="text2" w:themeFillShade="BF"/>
            <w:vAlign w:val="center"/>
          </w:tcPr>
          <w:p>
            <w:pPr>
              <w:spacing w:line="240" w:lineRule="auto"/>
              <w:jc w:val="center"/>
              <w:rPr>
                <w:rFonts w:ascii="Arial" w:hAnsi="Arial" w:cs="Arial"/>
                <w:b/>
                <w:bCs/>
                <w:i w:val="0"/>
                <w:iCs w:val="0"/>
                <w:color w:val="FFFFFF" w:themeColor="background1"/>
                <w:szCs w:val="21"/>
                <w:u w:color="000000"/>
                <w14:textFill>
                  <w14:solidFill>
                    <w14:schemeClr w14:val="bg1"/>
                  </w14:solidFill>
                </w14:textFill>
              </w:rPr>
            </w:pPr>
          </w:p>
        </w:tc>
        <w:tc>
          <w:tcPr>
            <w:tcW w:w="2866" w:type="dxa"/>
            <w:shd w:val="clear" w:color="auto" w:fill="664515" w:themeFill="text2" w:themeFillShade="BF"/>
            <w:vAlign w:val="center"/>
          </w:tcPr>
          <w:p>
            <w:pPr>
              <w:spacing w:line="240" w:lineRule="auto"/>
              <w:jc w:val="center"/>
              <w:rPr>
                <w:rFonts w:ascii="Arial" w:hAnsi="Arial" w:cs="Arial"/>
                <w:b/>
                <w:szCs w:val="21"/>
              </w:rPr>
            </w:pPr>
            <w:r>
              <w:rPr>
                <w:rFonts w:ascii="Arial" w:hAnsi="Arial" w:cs="Arial"/>
                <w:b/>
                <w:szCs w:val="21"/>
              </w:rPr>
              <w:t>合计</w:t>
            </w:r>
          </w:p>
        </w:tc>
        <w:tc>
          <w:tcPr>
            <w:tcW w:w="1868" w:type="dxa"/>
            <w:shd w:val="clear" w:color="auto" w:fill="664515" w:themeFill="text2" w:themeFillShade="BF"/>
            <w:vAlign w:val="center"/>
          </w:tcPr>
          <w:p>
            <w:pPr>
              <w:spacing w:line="240" w:lineRule="auto"/>
              <w:jc w:val="center"/>
              <w:rPr>
                <w:rFonts w:ascii="Arial" w:hAnsi="Arial" w:cs="Arial"/>
                <w:b/>
                <w:szCs w:val="21"/>
              </w:rPr>
            </w:pPr>
            <w:r>
              <w:rPr>
                <w:rFonts w:ascii="Arial" w:hAnsi="Arial" w:cs="Arial"/>
                <w:b/>
                <w:szCs w:val="21"/>
              </w:rPr>
              <w:t>17299</w:t>
            </w:r>
          </w:p>
        </w:tc>
      </w:tr>
    </w:tbl>
    <w:p>
      <w:pPr>
        <w:spacing w:line="360" w:lineRule="auto"/>
        <w:jc w:val="center"/>
        <w:rPr>
          <w:rFonts w:ascii="Arial" w:hAnsi="Arial" w:eastAsia="楷体" w:cs="Arial"/>
          <w:b/>
          <w:lang w:val="zh-TW"/>
        </w:rPr>
      </w:pPr>
      <w:r>
        <w:rPr>
          <w:rFonts w:ascii="Arial" w:hAnsi="Arial" w:eastAsia="楷体" w:cs="Arial"/>
          <w:b/>
          <w:lang w:val="zh-TW"/>
        </w:rPr>
        <w:t>各院系学生选课情况</w:t>
      </w:r>
    </w:p>
    <w:p>
      <w:pPr>
        <w:spacing w:line="360" w:lineRule="auto"/>
        <w:jc w:val="center"/>
        <w:rPr>
          <w:rFonts w:ascii="Arial" w:hAnsi="Arial" w:eastAsia="楷体" w:cs="Arial"/>
          <w:b/>
          <w:lang w:val="zh-TW"/>
        </w:rPr>
      </w:pPr>
    </w:p>
    <w:p>
      <w:pPr>
        <w:spacing w:line="360" w:lineRule="auto"/>
        <w:ind w:firstLine="480" w:firstLineChars="200"/>
        <w:rPr>
          <w:rFonts w:ascii="Arial" w:hAnsi="Arial" w:cs="Arial"/>
          <w:sz w:val="24"/>
          <w:szCs w:val="24"/>
          <w:lang w:val="zh-TW"/>
        </w:rPr>
      </w:pPr>
      <w:r>
        <w:rPr>
          <w:rFonts w:ascii="Arial" w:hAnsi="Arial" w:cs="Arial"/>
          <w:sz w:val="24"/>
          <w:szCs w:val="24"/>
          <w:lang w:val="zh-TW"/>
        </w:rPr>
        <w:t>由上表可知，选课人次最多的院系为汽车学院、物流学院、公路学院。建议贵校可根据选课人次在下学期对相应的院系增设助教，以帮助这些院系的学生顺利完成课程学习。</w:t>
      </w:r>
    </w:p>
    <w:p>
      <w:pPr>
        <w:pStyle w:val="4"/>
        <w:rPr>
          <w:rFonts w:ascii="Arial" w:hAnsi="Arial" w:cs="Arial"/>
        </w:rPr>
      </w:pPr>
      <w:bookmarkStart w:id="13" w:name="_Toc8449"/>
      <w:r>
        <w:rPr>
          <w:rFonts w:ascii="Arial" w:hAnsi="Arial" w:cs="Arial"/>
        </w:rPr>
        <w:t>3.1.2 学生选课模块分布情况</w:t>
      </w:r>
      <w:bookmarkEnd w:id="13"/>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按照超星尔雅通识模块分类，各模块下的课程数量、选课人次及所占总人次比例分布情况如下：</w:t>
      </w:r>
    </w:p>
    <w:tbl>
      <w:tblPr>
        <w:tblStyle w:val="23"/>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1311"/>
        <w:gridCol w:w="1524"/>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65281A" w:themeFill="accent1" w:themeFillShade="BF"/>
            <w:vAlign w:val="center"/>
          </w:tcPr>
          <w:p>
            <w:pPr>
              <w:spacing w:before="0" w:after="0" w:line="360" w:lineRule="auto"/>
              <w:jc w:val="center"/>
              <w:rPr>
                <w:rFonts w:ascii="Arial" w:hAnsi="Arial" w:eastAsia="黑体" w:cs="Arial"/>
                <w:b/>
                <w:bCs/>
                <w:szCs w:val="21"/>
              </w:rPr>
            </w:pPr>
            <w:r>
              <w:rPr>
                <w:rFonts w:ascii="Arial" w:hAnsi="Arial" w:eastAsia="黑体" w:cs="Arial"/>
                <w:b/>
                <w:bCs/>
                <w:szCs w:val="21"/>
                <w:u w:color="000000"/>
                <w:lang w:val="zh-TW" w:eastAsia="zh-TW"/>
              </w:rPr>
              <w:t>通识课模块名称</w:t>
            </w:r>
          </w:p>
        </w:tc>
        <w:tc>
          <w:tcPr>
            <w:tcW w:w="1311" w:type="dxa"/>
            <w:tcBorders>
              <w:top w:val="nil"/>
              <w:left w:val="nil"/>
              <w:bottom w:val="nil"/>
              <w:right w:val="single" w:color="D6862D" w:themeColor="accent2" w:sz="8" w:space="0"/>
              <w:insideV w:val="single" w:sz="8" w:space="0"/>
            </w:tcBorders>
            <w:shd w:val="clear" w:color="auto" w:fill="65281A" w:themeFill="accent1" w:themeFillShade="BF"/>
            <w:vAlign w:val="center"/>
          </w:tcPr>
          <w:p>
            <w:pPr>
              <w:spacing w:before="0" w:after="0" w:line="360" w:lineRule="auto"/>
              <w:jc w:val="center"/>
              <w:rPr>
                <w:rFonts w:ascii="Arial" w:hAnsi="Arial" w:eastAsia="黑体" w:cs="Arial"/>
                <w:b/>
                <w:bCs/>
                <w:szCs w:val="21"/>
              </w:rPr>
            </w:pPr>
            <w:r>
              <w:rPr>
                <w:rFonts w:ascii="Arial" w:hAnsi="Arial" w:eastAsia="黑体" w:cs="Arial"/>
                <w:b/>
                <w:bCs/>
                <w:szCs w:val="21"/>
                <w:u w:color="000000"/>
                <w:lang w:val="zh-TW" w:eastAsia="zh-TW"/>
              </w:rPr>
              <w:t>课程数量</w:t>
            </w:r>
          </w:p>
        </w:tc>
        <w:tc>
          <w:tcPr>
            <w:tcW w:w="1524" w:type="dxa"/>
            <w:tcBorders>
              <w:top w:val="nil"/>
              <w:left w:val="nil"/>
              <w:bottom w:val="nil"/>
              <w:right w:val="single" w:color="D6862D" w:themeColor="accent2" w:sz="8" w:space="0"/>
              <w:insideV w:val="single" w:sz="8" w:space="0"/>
            </w:tcBorders>
            <w:shd w:val="clear" w:color="auto" w:fill="65281A" w:themeFill="accent1" w:themeFillShade="BF"/>
            <w:vAlign w:val="center"/>
          </w:tcPr>
          <w:p>
            <w:pPr>
              <w:spacing w:before="0" w:after="0" w:line="360" w:lineRule="auto"/>
              <w:jc w:val="center"/>
              <w:rPr>
                <w:rFonts w:ascii="Arial" w:hAnsi="Arial" w:eastAsia="黑体" w:cs="Arial"/>
                <w:b/>
                <w:bCs/>
                <w:szCs w:val="21"/>
              </w:rPr>
            </w:pPr>
            <w:r>
              <w:rPr>
                <w:rFonts w:ascii="Arial" w:hAnsi="Arial" w:eastAsia="黑体" w:cs="Arial"/>
                <w:b/>
                <w:bCs/>
                <w:szCs w:val="21"/>
                <w:u w:color="000000"/>
                <w:lang w:val="zh-TW" w:eastAsia="zh-TW"/>
              </w:rPr>
              <w:t>选课人次</w:t>
            </w:r>
          </w:p>
        </w:tc>
        <w:tc>
          <w:tcPr>
            <w:tcW w:w="2410" w:type="dxa"/>
            <w:tcBorders>
              <w:top w:val="nil"/>
              <w:left w:val="nil"/>
              <w:bottom w:val="nil"/>
              <w:right w:val="nil"/>
              <w:insideV w:val="single" w:sz="8" w:space="0"/>
            </w:tcBorders>
            <w:shd w:val="clear" w:color="auto" w:fill="65281A" w:themeFill="accent1" w:themeFillShade="BF"/>
            <w:vAlign w:val="center"/>
          </w:tcPr>
          <w:p>
            <w:pPr>
              <w:spacing w:before="0" w:after="0" w:line="360" w:lineRule="auto"/>
              <w:jc w:val="center"/>
              <w:rPr>
                <w:rFonts w:ascii="Arial" w:hAnsi="Arial" w:eastAsia="黑体" w:cs="Arial"/>
                <w:b/>
                <w:bCs/>
                <w:szCs w:val="21"/>
              </w:rPr>
            </w:pPr>
            <w:r>
              <w:rPr>
                <w:rFonts w:ascii="Arial" w:hAnsi="Arial" w:eastAsia="黑体" w:cs="Arial"/>
                <w:b/>
                <w:bCs/>
                <w:szCs w:val="21"/>
                <w:u w:color="000000"/>
                <w:lang w:val="zh-TW" w:eastAsia="zh-TW"/>
              </w:rPr>
              <w:t>所占总人次百分比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人类思想与自我认知</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6</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144</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公共必修</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4199</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创新创业</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6</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2496</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国学经典与文化传承</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7</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1227</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7.09%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成长基础</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5550</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32.08%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文学修养与艺术鉴赏</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7</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422</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文明起源与历史演变</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6</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93</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科学发现与技术革新</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4</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103</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经济活动与社会管理</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10</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284</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2977" w:type="dxa"/>
            <w:tcBorders>
              <w:top w:val="nil"/>
              <w:left w:val="nil"/>
              <w:bottom w:val="nil"/>
              <w:right w:val="single" w:color="D6862D" w:themeColor="accent2" w:sz="8" w:space="0"/>
              <w:insideV w:val="single" w:sz="8" w:space="0"/>
            </w:tcBorders>
            <w:shd w:val="clear" w:color="auto" w:fill="DAA454" w:themeFill="text2" w:themeFillTint="99"/>
            <w:vAlign w:val="center"/>
          </w:tcPr>
          <w:p>
            <w:pPr>
              <w:spacing w:line="240" w:lineRule="auto"/>
              <w:jc w:val="center"/>
              <w:rPr>
                <w:rFonts w:ascii="Arial" w:hAnsi="Arial" w:cs="Arial" w:eastAsiaTheme="majorEastAsia"/>
                <w:b/>
                <w:bCs/>
                <w:szCs w:val="21"/>
              </w:rPr>
            </w:pPr>
            <w:r>
              <w:rPr>
                <w:rFonts w:ascii="Arial" w:hAnsi="Arial" w:cs="Arial" w:eastAsiaTheme="majorEastAsia"/>
                <w:b/>
                <w:bCs/>
                <w:szCs w:val="21"/>
              </w:rPr>
              <w:t>通用能力</w:t>
            </w:r>
          </w:p>
        </w:tc>
        <w:tc>
          <w:tcPr>
            <w:tcW w:w="1311"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18</w:t>
            </w:r>
          </w:p>
        </w:tc>
        <w:tc>
          <w:tcPr>
            <w:tcW w:w="1524" w:type="dxa"/>
            <w:tcBorders>
              <w:top w:val="nil"/>
              <w:left w:val="nil"/>
              <w:bottom w:val="nil"/>
              <w:right w:val="single" w:color="D6862D" w:themeColor="accent2" w:sz="8" w:space="0"/>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2781</w:t>
            </w:r>
          </w:p>
        </w:tc>
        <w:tc>
          <w:tcPr>
            <w:tcW w:w="2410" w:type="dxa"/>
            <w:tcBorders>
              <w:top w:val="nil"/>
              <w:left w:val="nil"/>
              <w:bottom w:val="nil"/>
              <w:right w:val="nil"/>
              <w:insideV w:val="single" w:sz="8" w:space="0"/>
            </w:tcBorders>
            <w:shd w:val="clear" w:color="auto" w:fill="F4E1CB" w:themeFill="accent2" w:themeFillTint="3F"/>
            <w:vAlign w:val="center"/>
          </w:tcPr>
          <w:p>
            <w:pPr>
              <w:spacing w:line="240" w:lineRule="auto"/>
              <w:jc w:val="center"/>
              <w:rPr>
                <w:rFonts w:ascii="Arial" w:hAnsi="Arial" w:cs="Arial"/>
                <w:szCs w:val="21"/>
              </w:rPr>
            </w:pPr>
            <w:r>
              <w:rPr>
                <w:rFonts w:ascii="Arial" w:hAnsi="Arial" w:cs="Arial"/>
                <w:szCs w:val="21"/>
              </w:rPr>
              <w:t>16.08%</w:t>
            </w:r>
          </w:p>
        </w:tc>
      </w:tr>
    </w:tbl>
    <w:p>
      <w:pPr>
        <w:spacing w:line="360" w:lineRule="auto"/>
        <w:jc w:val="center"/>
        <w:rPr>
          <w:rFonts w:ascii="Arial" w:hAnsi="Arial" w:eastAsia="楷体" w:cs="Arial"/>
          <w:b/>
          <w:lang w:val="zh-TW"/>
        </w:rPr>
      </w:pPr>
      <w:r>
        <w:rPr>
          <w:rFonts w:ascii="Arial" w:hAnsi="Arial" w:eastAsia="楷体" w:cs="Arial"/>
          <w:b/>
          <w:lang w:val="zh-TW"/>
        </w:rPr>
        <w:t>学生选课模块分布情况表</w:t>
      </w:r>
    </w:p>
    <w:p>
      <w:pPr>
        <w:spacing w:line="360" w:lineRule="auto"/>
        <w:ind w:firstLine="480" w:firstLineChars="200"/>
        <w:jc w:val="left"/>
        <w:rPr>
          <w:rFonts w:ascii="Arial" w:hAnsi="Arial" w:cs="Arial"/>
          <w:sz w:val="24"/>
          <w:szCs w:val="24"/>
          <w:lang w:val="zh-TW"/>
        </w:rPr>
      </w:pP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各模板选课人次数情况如下图所示：</w:t>
      </w:r>
    </w:p>
    <w:p>
      <w:pPr>
        <w:spacing w:line="360" w:lineRule="auto"/>
        <w:jc w:val="center"/>
        <w:rPr>
          <w:rFonts w:ascii="Arial" w:hAnsi="Arial" w:cs="Arial"/>
          <w:sz w:val="24"/>
          <w:szCs w:val="24"/>
          <w:lang w:val="zh-TW"/>
        </w:rPr>
      </w:pPr>
      <w:r>
        <w:rPr>
          <w:rFonts w:ascii="Arial" w:hAnsi="Arial" w:cs="Arial"/>
          <w:sz w:val="24"/>
          <w:szCs w:val="24"/>
        </w:rPr>
        <w:drawing>
          <wp:inline distT="0" distB="0" distL="0" distR="0">
            <wp:extent cx="4674235" cy="2349500"/>
            <wp:effectExtent l="0" t="0" r="12065" b="1270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各模块选课人次分布图</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由上述数据可知，贵校学生对成长基础模块的课程兴趣最高，选课人次最多，而对文明起源与历史演变模块的课程兴趣较小。</w:t>
      </w:r>
    </w:p>
    <w:p>
      <w:pPr>
        <w:pStyle w:val="3"/>
        <w:rPr>
          <w:rFonts w:ascii="Arial" w:hAnsi="Arial" w:cs="Arial"/>
        </w:rPr>
      </w:pPr>
      <w:bookmarkStart w:id="14" w:name="_Toc6449"/>
      <w:r>
        <w:rPr>
          <w:rFonts w:ascii="Arial" w:hAnsi="Arial" w:cs="Arial"/>
        </w:rPr>
        <w:t>3.2 学生考核情况</w:t>
      </w:r>
      <w:bookmarkEnd w:id="14"/>
    </w:p>
    <w:p>
      <w:pPr>
        <w:pStyle w:val="4"/>
        <w:rPr>
          <w:rFonts w:ascii="Arial" w:hAnsi="Arial" w:cs="Arial"/>
          <w:lang w:eastAsia="zh-CN"/>
        </w:rPr>
      </w:pPr>
      <w:bookmarkStart w:id="15" w:name="_Toc19914"/>
      <w:r>
        <w:rPr>
          <w:rFonts w:ascii="Arial" w:hAnsi="Arial" w:cs="Arial"/>
        </w:rPr>
        <w:t>3.</w:t>
      </w:r>
      <w:r>
        <w:rPr>
          <w:rFonts w:ascii="Arial" w:hAnsi="Arial" w:cs="Arial"/>
          <w:lang w:eastAsia="zh-CN"/>
        </w:rPr>
        <w:t>2</w:t>
      </w:r>
      <w:r>
        <w:rPr>
          <w:rFonts w:ascii="Arial" w:hAnsi="Arial" w:cs="Arial"/>
        </w:rPr>
        <w:t>.1 学生</w:t>
      </w:r>
      <w:r>
        <w:rPr>
          <w:rFonts w:ascii="Arial" w:hAnsi="Arial" w:cs="Arial"/>
          <w:lang w:eastAsia="zh-CN"/>
        </w:rPr>
        <w:t>考核成绩统计</w:t>
      </w:r>
      <w:bookmarkEnd w:id="15"/>
    </w:p>
    <w:p>
      <w:pPr>
        <w:spacing w:line="360" w:lineRule="auto"/>
        <w:ind w:firstLine="480" w:firstLineChars="200"/>
        <w:rPr>
          <w:rFonts w:ascii="Arial" w:hAnsi="Arial" w:cs="Arial"/>
          <w:sz w:val="24"/>
          <w:szCs w:val="24"/>
          <w:highlight w:val="none"/>
        </w:rPr>
      </w:pPr>
      <w:r>
        <w:rPr>
          <w:rFonts w:hint="eastAsia" w:ascii="Arial" w:hAnsi="Arial" w:cs="Arial"/>
          <w:sz w:val="24"/>
          <w:szCs w:val="24"/>
        </w:rPr>
        <w:t>学生考核成绩为平时成绩与期末成绩的总和。</w:t>
      </w:r>
      <w:r>
        <w:rPr>
          <w:rFonts w:ascii="Arial" w:hAnsi="Arial" w:cs="Arial"/>
          <w:sz w:val="24"/>
          <w:szCs w:val="24"/>
        </w:rPr>
        <w:t>贵校设定</w:t>
      </w:r>
      <w:r>
        <w:rPr>
          <w:rFonts w:ascii="Arial" w:hAnsi="Arial" w:cs="Arial"/>
          <w:sz w:val="24"/>
          <w:szCs w:val="24"/>
          <w:highlight w:val="none"/>
        </w:rPr>
        <w:t>平时成绩占比</w:t>
      </w:r>
      <w:r>
        <w:rPr>
          <w:rFonts w:hint="eastAsia" w:ascii="Arial" w:hAnsi="Arial" w:cs="Arial"/>
          <w:sz w:val="24"/>
          <w:szCs w:val="24"/>
          <w:highlight w:val="none"/>
          <w:lang w:val="en-US" w:eastAsia="zh-CN"/>
        </w:rPr>
        <w:t>6</w:t>
      </w:r>
      <w:r>
        <w:rPr>
          <w:rFonts w:ascii="Arial" w:hAnsi="Arial" w:cs="Arial"/>
          <w:sz w:val="24"/>
          <w:szCs w:val="24"/>
          <w:highlight w:val="none"/>
        </w:rPr>
        <w:t>0%，期末成绩占比</w:t>
      </w:r>
      <w:r>
        <w:rPr>
          <w:rFonts w:hint="eastAsia" w:ascii="Arial" w:hAnsi="Arial" w:cs="Arial"/>
          <w:sz w:val="24"/>
          <w:szCs w:val="24"/>
          <w:highlight w:val="none"/>
          <w:lang w:val="en-US" w:eastAsia="zh-CN"/>
        </w:rPr>
        <w:t>4</w:t>
      </w:r>
      <w:r>
        <w:rPr>
          <w:rFonts w:ascii="Arial" w:hAnsi="Arial" w:cs="Arial"/>
          <w:sz w:val="24"/>
          <w:szCs w:val="24"/>
          <w:highlight w:val="none"/>
        </w:rPr>
        <w:t>0%。其中，平时成绩的构成主要包括：课程视频观看得分（4</w:t>
      </w:r>
      <w:r>
        <w:rPr>
          <w:rFonts w:hint="eastAsia" w:ascii="Arial" w:hAnsi="Arial" w:cs="Arial"/>
          <w:sz w:val="24"/>
          <w:szCs w:val="24"/>
          <w:highlight w:val="none"/>
          <w:lang w:val="en-US" w:eastAsia="zh-CN"/>
        </w:rPr>
        <w:t>0</w:t>
      </w:r>
      <w:r>
        <w:rPr>
          <w:rFonts w:ascii="Arial" w:hAnsi="Arial" w:cs="Arial"/>
          <w:sz w:val="24"/>
          <w:szCs w:val="24"/>
          <w:highlight w:val="none"/>
        </w:rPr>
        <w:t>%）、课程测验得分（2</w:t>
      </w:r>
      <w:r>
        <w:rPr>
          <w:rFonts w:hint="eastAsia" w:ascii="Arial" w:hAnsi="Arial" w:cs="Arial"/>
          <w:sz w:val="24"/>
          <w:szCs w:val="24"/>
          <w:highlight w:val="none"/>
          <w:lang w:val="en-US" w:eastAsia="zh-CN"/>
        </w:rPr>
        <w:t>0</w:t>
      </w:r>
      <w:r>
        <w:rPr>
          <w:rFonts w:ascii="Arial" w:hAnsi="Arial" w:cs="Arial"/>
          <w:sz w:val="24"/>
          <w:szCs w:val="24"/>
          <w:highlight w:val="none"/>
        </w:rPr>
        <w:t>%）。</w:t>
      </w:r>
    </w:p>
    <w:p>
      <w:pPr>
        <w:spacing w:line="360" w:lineRule="auto"/>
        <w:ind w:firstLine="480" w:firstLineChars="200"/>
        <w:rPr>
          <w:rFonts w:ascii="Arial" w:hAnsi="Arial" w:cs="Arial"/>
          <w:sz w:val="24"/>
          <w:szCs w:val="24"/>
        </w:rPr>
      </w:pPr>
      <w:r>
        <w:rPr>
          <w:rFonts w:ascii="Arial" w:hAnsi="Arial" w:cs="Arial"/>
          <w:sz w:val="24"/>
          <w:szCs w:val="24"/>
        </w:rPr>
        <w:t>据后台数据统计，贵校学生在超星尔雅的课程考核总体通过率为91.94%，总体优秀率为73.99%，与全国高校</w:t>
      </w:r>
      <w:r>
        <w:rPr>
          <w:rFonts w:hint="eastAsia" w:ascii="Arial" w:hAnsi="Arial" w:cs="Arial"/>
          <w:sz w:val="24"/>
          <w:szCs w:val="24"/>
        </w:rPr>
        <w:t>抽样</w:t>
      </w:r>
      <w:r>
        <w:rPr>
          <w:rFonts w:ascii="Arial" w:hAnsi="Arial" w:cs="Arial"/>
          <w:sz w:val="24"/>
          <w:szCs w:val="24"/>
        </w:rPr>
        <w:t>的平均成绩对比情况如下图所示：</w:t>
      </w:r>
    </w:p>
    <w:p>
      <w:pPr>
        <w:spacing w:line="360" w:lineRule="auto"/>
        <w:ind w:firstLine="480" w:firstLineChars="200"/>
        <w:rPr>
          <w:rFonts w:ascii="Arial" w:hAnsi="Arial" w:cs="Arial"/>
          <w:sz w:val="24"/>
          <w:szCs w:val="24"/>
        </w:rPr>
      </w:pPr>
      <w:r>
        <w:rPr>
          <w:rFonts w:ascii="Arial" w:hAnsi="Arial" w:cs="Arial"/>
          <w:sz w:val="24"/>
          <w:szCs w:val="24"/>
        </w:rPr>
        <w:drawing>
          <wp:inline distT="0" distB="0" distL="0" distR="0">
            <wp:extent cx="4221480" cy="2153285"/>
            <wp:effectExtent l="0" t="0" r="26670" b="1841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河南交通职业技术学院考核成绩与</w:t>
      </w:r>
      <w:r>
        <w:rPr>
          <w:rFonts w:hint="eastAsia" w:ascii="Arial" w:hAnsi="Arial" w:eastAsia="楷体" w:cs="Arial"/>
          <w:b/>
          <w:szCs w:val="21"/>
          <w:lang w:val="zh-TW"/>
        </w:rPr>
        <w:t>全国高校抽样的平均成绩</w:t>
      </w:r>
      <w:r>
        <w:rPr>
          <w:rFonts w:ascii="Arial" w:hAnsi="Arial" w:eastAsia="楷体" w:cs="Arial"/>
          <w:b/>
          <w:szCs w:val="21"/>
          <w:lang w:val="zh-TW"/>
        </w:rPr>
        <w:t>对比图</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w:t>
      </w:r>
      <w:r>
        <w:rPr>
          <w:rFonts w:hint="eastAsia" w:ascii="Arial" w:hAnsi="Arial" w:eastAsia="楷体" w:cs="Arial"/>
          <w:bCs/>
          <w:color w:val="A36520" w:themeColor="accent2" w:themeShade="BF"/>
          <w:szCs w:val="21"/>
          <w:u w:color="000000"/>
          <w:lang w:val="zh-TW"/>
        </w:rPr>
        <w:t>1</w:t>
      </w:r>
      <w:r>
        <w:rPr>
          <w:rFonts w:ascii="Arial" w:hAnsi="Arial" w:eastAsia="楷体" w:cs="Arial"/>
          <w:bCs/>
          <w:color w:val="A36520" w:themeColor="accent2" w:themeShade="BF"/>
          <w:szCs w:val="21"/>
          <w:u w:color="000000"/>
          <w:lang w:val="zh-TW"/>
        </w:rPr>
        <w:t>：</w:t>
      </w:r>
      <w:r>
        <w:rPr>
          <w:rFonts w:ascii="Arial" w:hAnsi="Arial" w:eastAsia="楷体" w:cs="Arial"/>
          <w:color w:val="A36520" w:themeColor="accent2" w:themeShade="BF"/>
          <w:szCs w:val="21"/>
        </w:rPr>
        <w:t>考核通过率=考核及格人次/参加考核人次。其中，考核及格分数为</w:t>
      </w:r>
      <w:r>
        <w:rPr>
          <w:rFonts w:ascii="Arial" w:hAnsi="Arial" w:eastAsia="楷体" w:cs="Arial"/>
          <w:color w:val="A36520" w:themeColor="accent2" w:themeShade="BF"/>
          <w:szCs w:val="21"/>
          <w:highlight w:val="none"/>
        </w:rPr>
        <w:t>60分</w:t>
      </w:r>
      <w:r>
        <w:rPr>
          <w:rFonts w:ascii="Arial" w:hAnsi="Arial" w:eastAsia="楷体" w:cs="Arial"/>
          <w:color w:val="A36520" w:themeColor="accent2" w:themeShade="BF"/>
          <w:szCs w:val="21"/>
        </w:rPr>
        <w:t>及以上，参加考核人次不包含已选课但未</w:t>
      </w:r>
      <w:r>
        <w:rPr>
          <w:rFonts w:hint="eastAsia" w:ascii="Arial" w:hAnsi="Arial" w:eastAsia="楷体" w:cs="Arial"/>
          <w:color w:val="A36520" w:themeColor="accent2" w:themeShade="BF"/>
          <w:szCs w:val="21"/>
        </w:rPr>
        <w:t>参加</w:t>
      </w:r>
      <w:r>
        <w:rPr>
          <w:rFonts w:ascii="Arial" w:hAnsi="Arial" w:eastAsia="楷体" w:cs="Arial"/>
          <w:color w:val="A36520" w:themeColor="accent2" w:themeShade="BF"/>
          <w:szCs w:val="21"/>
        </w:rPr>
        <w:t>学习的学生人次。</w:t>
      </w:r>
      <w:r>
        <w:rPr>
          <w:rFonts w:ascii="Arial" w:hAnsi="Arial" w:eastAsia="楷体" w:cs="Arial"/>
          <w:bCs/>
          <w:color w:val="A36520" w:themeColor="accent2" w:themeShade="BF"/>
          <w:szCs w:val="21"/>
          <w:u w:color="000000"/>
          <w:lang w:val="zh-TW"/>
        </w:rPr>
        <w:t>】</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w:t>
      </w:r>
      <w:r>
        <w:rPr>
          <w:rFonts w:hint="eastAsia" w:ascii="Arial" w:hAnsi="Arial" w:eastAsia="楷体" w:cs="Arial"/>
          <w:bCs/>
          <w:color w:val="A36520" w:themeColor="accent2" w:themeShade="BF"/>
          <w:szCs w:val="21"/>
          <w:u w:color="000000"/>
          <w:lang w:val="zh-TW"/>
        </w:rPr>
        <w:t>2</w:t>
      </w:r>
      <w:r>
        <w:rPr>
          <w:rFonts w:ascii="Arial" w:hAnsi="Arial" w:eastAsia="楷体" w:cs="Arial"/>
          <w:bCs/>
          <w:color w:val="A36520" w:themeColor="accent2" w:themeShade="BF"/>
          <w:szCs w:val="21"/>
          <w:u w:color="000000"/>
          <w:lang w:val="zh-TW"/>
        </w:rPr>
        <w:t>：优秀率=考核优秀人次/参加考核人次。其中，考核优秀分数为</w:t>
      </w:r>
      <w:r>
        <w:rPr>
          <w:rFonts w:ascii="Arial" w:hAnsi="Arial" w:eastAsia="楷体" w:cs="Arial"/>
          <w:bCs/>
          <w:color w:val="A36520" w:themeColor="accent2" w:themeShade="BF"/>
          <w:szCs w:val="21"/>
          <w:highlight w:val="none"/>
          <w:u w:color="000000"/>
          <w:lang w:val="zh-TW"/>
        </w:rPr>
        <w:t>90分</w:t>
      </w:r>
      <w:r>
        <w:rPr>
          <w:rFonts w:ascii="Arial" w:hAnsi="Arial" w:eastAsia="楷体" w:cs="Arial"/>
          <w:bCs/>
          <w:color w:val="A36520" w:themeColor="accent2" w:themeShade="BF"/>
          <w:szCs w:val="21"/>
          <w:u w:color="000000"/>
          <w:lang w:val="zh-TW"/>
        </w:rPr>
        <w:t>及以上，参加考核人次不包含已选课但未</w:t>
      </w:r>
      <w:r>
        <w:rPr>
          <w:rFonts w:hint="eastAsia" w:ascii="Arial" w:hAnsi="Arial" w:eastAsia="楷体" w:cs="Arial"/>
          <w:bCs/>
          <w:color w:val="A36520" w:themeColor="accent2" w:themeShade="BF"/>
          <w:szCs w:val="21"/>
          <w:u w:color="000000"/>
          <w:lang w:val="zh-TW"/>
        </w:rPr>
        <w:t>参加</w:t>
      </w:r>
      <w:r>
        <w:rPr>
          <w:rFonts w:ascii="Arial" w:hAnsi="Arial" w:eastAsia="楷体" w:cs="Arial"/>
          <w:bCs/>
          <w:color w:val="A36520" w:themeColor="accent2" w:themeShade="BF"/>
          <w:szCs w:val="21"/>
          <w:u w:color="000000"/>
          <w:lang w:val="zh-TW"/>
        </w:rPr>
        <w:t>学习的学生人次。】</w:t>
      </w:r>
    </w:p>
    <w:p>
      <w:pPr>
        <w:pStyle w:val="49"/>
        <w:spacing w:line="360" w:lineRule="auto"/>
        <w:ind w:firstLine="371" w:firstLineChars="177"/>
        <w:rPr>
          <w:rFonts w:ascii="Arial" w:hAnsi="Arial" w:eastAsia="楷体" w:cs="Arial"/>
          <w:bCs/>
          <w:color w:val="A36520" w:themeColor="accent2" w:themeShade="BF"/>
          <w:szCs w:val="21"/>
          <w:u w:color="000000"/>
          <w:lang w:val="zh-TW"/>
        </w:rPr>
      </w:pPr>
      <w:r>
        <w:rPr>
          <w:rFonts w:ascii="Arial" w:hAnsi="Arial" w:eastAsia="楷体" w:cs="Arial"/>
          <w:bCs/>
          <w:color w:val="A36520" w:themeColor="accent2" w:themeShade="BF"/>
          <w:szCs w:val="21"/>
          <w:u w:color="000000"/>
          <w:lang w:val="zh-TW"/>
        </w:rPr>
        <w:t>【说明</w:t>
      </w:r>
      <w:r>
        <w:rPr>
          <w:rFonts w:hint="eastAsia" w:ascii="Arial" w:hAnsi="Arial" w:eastAsia="楷体" w:cs="Arial"/>
          <w:bCs/>
          <w:color w:val="A36520" w:themeColor="accent2" w:themeShade="BF"/>
          <w:szCs w:val="21"/>
          <w:u w:color="000000"/>
          <w:lang w:val="zh-TW"/>
        </w:rPr>
        <w:t>3</w:t>
      </w:r>
      <w:r>
        <w:rPr>
          <w:rFonts w:ascii="Arial" w:hAnsi="Arial" w:eastAsia="楷体" w:cs="Arial"/>
          <w:bCs/>
          <w:color w:val="A36520" w:themeColor="accent2" w:themeShade="BF"/>
          <w:szCs w:val="21"/>
          <w:u w:color="000000"/>
          <w:lang w:val="zh-TW"/>
        </w:rPr>
        <w:t>：</w:t>
      </w:r>
      <w:r>
        <w:rPr>
          <w:rFonts w:hint="eastAsia" w:ascii="Arial" w:hAnsi="Arial" w:eastAsia="楷体" w:cs="Arial"/>
          <w:bCs/>
          <w:color w:val="A36520" w:themeColor="accent2" w:themeShade="BF"/>
          <w:szCs w:val="21"/>
          <w:u w:color="000000"/>
          <w:lang w:val="zh-TW"/>
        </w:rPr>
        <w:t>全国高校抽样的平均成绩是按照尔雅本科学校数、高职高专学校数的占比抽样，计算所得的加权平均值</w:t>
      </w:r>
      <w:r>
        <w:rPr>
          <w:rFonts w:ascii="Arial" w:hAnsi="Arial" w:eastAsia="楷体" w:cs="Arial"/>
          <w:bCs/>
          <w:color w:val="A36520" w:themeColor="accent2" w:themeShade="BF"/>
          <w:szCs w:val="21"/>
          <w:u w:color="000000"/>
          <w:lang w:val="zh-TW"/>
        </w:rPr>
        <w:t>。】</w:t>
      </w:r>
    </w:p>
    <w:p>
      <w:pPr>
        <w:spacing w:line="360" w:lineRule="auto"/>
        <w:ind w:firstLine="480" w:firstLineChars="200"/>
        <w:jc w:val="left"/>
        <w:rPr>
          <w:rFonts w:ascii="Arial" w:hAnsi="Arial" w:cs="Arial"/>
          <w:sz w:val="24"/>
          <w:szCs w:val="24"/>
        </w:rPr>
      </w:pPr>
      <w:r>
        <w:rPr>
          <w:rFonts w:ascii="Arial" w:hAnsi="Arial" w:cs="Arial"/>
          <w:sz w:val="24"/>
          <w:szCs w:val="24"/>
        </w:rPr>
        <w:t>由上图可知，贵校学生的</w:t>
      </w:r>
      <w:r>
        <w:rPr>
          <w:rFonts w:ascii="Arial" w:hAnsi="Arial" w:cs="Arial"/>
          <w:sz w:val="24"/>
          <w:szCs w:val="24"/>
          <w:highlight w:val="none"/>
        </w:rPr>
        <w:t>学习情况良好，</w:t>
      </w:r>
      <w:r>
        <w:rPr>
          <w:rFonts w:hint="eastAsia" w:ascii="Arial" w:hAnsi="Arial" w:cs="Arial"/>
          <w:sz w:val="24"/>
          <w:szCs w:val="24"/>
          <w:highlight w:val="none"/>
        </w:rPr>
        <w:t>其考核成绩高于全国高校抽样的平均成绩。</w:t>
      </w:r>
      <w:r>
        <w:rPr>
          <w:rFonts w:ascii="Arial" w:hAnsi="Arial" w:cs="Arial"/>
          <w:sz w:val="24"/>
          <w:szCs w:val="24"/>
        </w:rPr>
        <w:t>贵校考核成绩各分数段分布情况如下图所示：</w:t>
      </w:r>
    </w:p>
    <w:p>
      <w:pPr>
        <w:spacing w:line="360" w:lineRule="auto"/>
        <w:ind w:firstLine="480" w:firstLineChars="200"/>
        <w:jc w:val="left"/>
        <w:rPr>
          <w:rFonts w:ascii="Arial" w:hAnsi="Arial" w:cs="Arial"/>
          <w:sz w:val="24"/>
          <w:szCs w:val="24"/>
        </w:rPr>
      </w:pPr>
      <w:r>
        <w:rPr>
          <w:rFonts w:ascii="Arial" w:hAnsi="Arial" w:cs="Arial"/>
          <w:sz w:val="24"/>
          <w:szCs w:val="24"/>
        </w:rPr>
        <w:drawing>
          <wp:inline distT="0" distB="0" distL="0" distR="0">
            <wp:extent cx="4752975" cy="2305050"/>
            <wp:effectExtent l="0" t="0" r="9525" b="1905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河南交通职业技术学院考核成绩各分数段分布情况图</w:t>
      </w:r>
    </w:p>
    <w:p>
      <w:pPr>
        <w:spacing w:line="360" w:lineRule="auto"/>
        <w:ind w:firstLine="480" w:firstLineChars="200"/>
        <w:jc w:val="left"/>
        <w:rPr>
          <w:rFonts w:ascii="Arial" w:hAnsi="Arial" w:cs="Arial"/>
          <w:sz w:val="24"/>
          <w:szCs w:val="24"/>
        </w:rPr>
      </w:pPr>
      <w:r>
        <w:rPr>
          <w:rFonts w:ascii="Arial" w:hAnsi="Arial" w:cs="Arial"/>
          <w:sz w:val="24"/>
          <w:szCs w:val="24"/>
        </w:rPr>
        <w:t>贵校本学期学生选课量前20的课程考核情况如下表所示：</w:t>
      </w:r>
    </w:p>
    <w:tbl>
      <w:tblPr>
        <w:tblStyle w:val="20"/>
        <w:tblW w:w="9782" w:type="dxa"/>
        <w:tblInd w:w="-730" w:type="dxa"/>
        <w:tblLayout w:type="fixed"/>
        <w:tblCellMar>
          <w:top w:w="0" w:type="dxa"/>
          <w:left w:w="108" w:type="dxa"/>
          <w:bottom w:w="0" w:type="dxa"/>
          <w:right w:w="108" w:type="dxa"/>
        </w:tblCellMar>
      </w:tblPr>
      <w:tblGrid>
        <w:gridCol w:w="1985"/>
        <w:gridCol w:w="992"/>
        <w:gridCol w:w="993"/>
        <w:gridCol w:w="993"/>
        <w:gridCol w:w="992"/>
        <w:gridCol w:w="850"/>
        <w:gridCol w:w="993"/>
        <w:gridCol w:w="992"/>
        <w:gridCol w:w="992"/>
      </w:tblGrid>
      <w:tr>
        <w:tblPrEx>
          <w:tblLayout w:type="fixed"/>
          <w:tblCellMar>
            <w:top w:w="0" w:type="dxa"/>
            <w:left w:w="108" w:type="dxa"/>
            <w:bottom w:w="0" w:type="dxa"/>
            <w:right w:w="108" w:type="dxa"/>
          </w:tblCellMar>
        </w:tblPrEx>
        <w:trPr>
          <w:trHeight w:val="288" w:hRule="atLeast"/>
        </w:trPr>
        <w:tc>
          <w:tcPr>
            <w:tcW w:w="1985" w:type="dxa"/>
            <w:tcBorders>
              <w:top w:val="single" w:color="auto" w:sz="4" w:space="0"/>
              <w:left w:val="single" w:color="auto" w:sz="4" w:space="0"/>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课程名称</w:t>
            </w:r>
          </w:p>
        </w:tc>
        <w:tc>
          <w:tcPr>
            <w:tcW w:w="992"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选课</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人次</w:t>
            </w:r>
          </w:p>
        </w:tc>
        <w:tc>
          <w:tcPr>
            <w:tcW w:w="993" w:type="dxa"/>
            <w:tcBorders>
              <w:top w:val="single" w:color="auto" w:sz="4" w:space="0"/>
              <w:left w:val="nil"/>
              <w:bottom w:val="single" w:color="auto" w:sz="4" w:space="0"/>
              <w:right w:val="single" w:color="auto" w:sz="4" w:space="0"/>
            </w:tcBorders>
            <w:shd w:val="clear" w:color="auto" w:fill="65281A" w:themeFill="accent1" w:themeFillShade="BF"/>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hint="eastAsia" w:ascii="Arial" w:hAnsi="Arial" w:eastAsia="黑体" w:cs="Arial"/>
                <w:b/>
                <w:bCs/>
                <w:color w:val="FFFFFF" w:themeColor="background1"/>
                <w:kern w:val="0"/>
                <w:szCs w:val="21"/>
                <w:lang w:eastAsia="zh-TW"/>
                <w14:textFill>
                  <w14:solidFill>
                    <w14:schemeClr w14:val="bg1"/>
                  </w14:solidFill>
                </w14:textFill>
              </w:rPr>
              <w:t>未登陆</w:t>
            </w:r>
          </w:p>
          <w:p>
            <w:pPr>
              <w:widowControl/>
              <w:spacing w:line="240" w:lineRule="auto"/>
              <w:jc w:val="center"/>
              <w:rPr>
                <w:rFonts w:ascii="Arial" w:hAnsi="Arial" w:eastAsia="黑体" w:cs="Arial"/>
                <w:b/>
                <w:bCs/>
                <w:color w:val="FFFFFF" w:themeColor="background1"/>
                <w:kern w:val="0"/>
                <w:szCs w:val="21"/>
                <w:lang w:eastAsia="zh-TW"/>
                <w14:textFill>
                  <w14:solidFill>
                    <w14:schemeClr w14:val="bg1"/>
                  </w14:solidFill>
                </w14:textFill>
              </w:rPr>
            </w:pPr>
            <w:r>
              <w:rPr>
                <w:rFonts w:hint="eastAsia" w:ascii="Arial" w:hAnsi="Arial" w:eastAsia="黑体" w:cs="Arial"/>
                <w:b/>
                <w:bCs/>
                <w:color w:val="FFFFFF" w:themeColor="background1"/>
                <w:kern w:val="0"/>
                <w:szCs w:val="21"/>
                <w:lang w:eastAsia="zh-TW"/>
                <w14:textFill>
                  <w14:solidFill>
                    <w14:schemeClr w14:val="bg1"/>
                  </w14:solidFill>
                </w14:textFill>
              </w:rPr>
              <w:t>人数</w:t>
            </w:r>
          </w:p>
        </w:tc>
        <w:tc>
          <w:tcPr>
            <w:tcW w:w="993" w:type="dxa"/>
            <w:tcBorders>
              <w:top w:val="single" w:color="auto" w:sz="4" w:space="0"/>
              <w:left w:val="single" w:color="auto" w:sz="4" w:space="0"/>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考试</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人次</w:t>
            </w:r>
          </w:p>
        </w:tc>
        <w:tc>
          <w:tcPr>
            <w:tcW w:w="992"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14:textFill>
                  <w14:solidFill>
                    <w14:schemeClr w14:val="bg1"/>
                  </w14:solidFill>
                </w14:textFill>
              </w:rPr>
              <w:t>参</w:t>
            </w:r>
            <w:r>
              <w:rPr>
                <w:rFonts w:ascii="Arial" w:hAnsi="Arial" w:eastAsia="黑体" w:cs="Arial"/>
                <w:b/>
                <w:bCs/>
                <w:color w:val="FFFFFF" w:themeColor="background1"/>
                <w:kern w:val="0"/>
                <w:szCs w:val="21"/>
                <w:lang w:eastAsia="zh-TW"/>
                <w14:textFill>
                  <w14:solidFill>
                    <w14:schemeClr w14:val="bg1"/>
                  </w14:solidFill>
                </w14:textFill>
              </w:rPr>
              <w:t>考</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人次比</w:t>
            </w:r>
          </w:p>
        </w:tc>
        <w:tc>
          <w:tcPr>
            <w:tcW w:w="850"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平均</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成绩</w:t>
            </w:r>
          </w:p>
        </w:tc>
        <w:tc>
          <w:tcPr>
            <w:tcW w:w="993"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通过</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人次数</w:t>
            </w:r>
          </w:p>
        </w:tc>
        <w:tc>
          <w:tcPr>
            <w:tcW w:w="992"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考核</w:t>
            </w:r>
          </w:p>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通过率</w:t>
            </w:r>
          </w:p>
        </w:tc>
        <w:tc>
          <w:tcPr>
            <w:tcW w:w="992" w:type="dxa"/>
            <w:tcBorders>
              <w:top w:val="single" w:color="auto" w:sz="4" w:space="0"/>
              <w:left w:val="nil"/>
              <w:bottom w:val="nil"/>
              <w:right w:val="single" w:color="auto" w:sz="4" w:space="0"/>
            </w:tcBorders>
            <w:shd w:val="clear" w:color="auto" w:fill="65281A" w:themeFill="accent1" w:themeFillShade="BF"/>
            <w:vAlign w:val="center"/>
          </w:tcPr>
          <w:p>
            <w:pPr>
              <w:widowControl/>
              <w:spacing w:line="240" w:lineRule="auto"/>
              <w:jc w:val="center"/>
              <w:rPr>
                <w:rFonts w:ascii="Arial" w:hAnsi="Arial" w:eastAsia="黑体" w:cs="Arial"/>
                <w:b/>
                <w:bCs/>
                <w:color w:val="FFFFFF" w:themeColor="background1"/>
                <w:kern w:val="0"/>
                <w:szCs w:val="21"/>
                <w14:textFill>
                  <w14:solidFill>
                    <w14:schemeClr w14:val="bg1"/>
                  </w14:solidFill>
                </w14:textFill>
              </w:rPr>
            </w:pPr>
            <w:r>
              <w:rPr>
                <w:rFonts w:ascii="Arial" w:hAnsi="Arial" w:eastAsia="黑体" w:cs="Arial"/>
                <w:b/>
                <w:bCs/>
                <w:color w:val="FFFFFF" w:themeColor="background1"/>
                <w:kern w:val="0"/>
                <w:szCs w:val="21"/>
                <w:lang w:eastAsia="zh-TW"/>
                <w14:textFill>
                  <w14:solidFill>
                    <w14:schemeClr w14:val="bg1"/>
                  </w14:solidFill>
                </w14:textFill>
              </w:rPr>
              <w:t>优秀率</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大学生公民素质教育</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3233</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2940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90.94%</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95.67</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2962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94.36%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77.22%</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形势与政策（2018年春）</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2331</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101</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2101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90.13%</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96.16</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2104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94.35%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80.22%</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大学生安全教育（新版）</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2188</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230</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1845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84.32%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94.8</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1828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93.36%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77.17%</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军事理论（南开版）</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1868</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1690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90.47%</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96.24</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1712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95.11%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80.83%</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大学生创业基础</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1855</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55</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1694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91.32%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95.46</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1695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94.17%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77.78%</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《孙子兵法》与执政艺术</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969</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836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86.27%</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93.74</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840</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90.13%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65.45%</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有效沟通技巧</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513</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417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81.29%</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93.4</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433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89.09%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60.7%</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口才艺术与社交礼仪</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443</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36</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352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79.46%</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94.41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352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86.49%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70.02%</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突发事件及自救互救</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418</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21</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361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86.36%</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93.9</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359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90.43%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68.77%</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生命安全与救援</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392</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16</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347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88.52%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95.35</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349</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92.82%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77.66%</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创新思维训练</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365</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14</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298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81.64%</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93.36</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297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84.62%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65.81%</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创新创业</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235</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52</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161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68.51%</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94.12</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158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86.34%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71.04%</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情绪管理</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235</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213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90.64%</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93.28</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218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95.2%</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68.12%</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如何高效学习</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220</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187</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85%</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93.31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194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90.23%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61.4%</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中华诗词之美</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189</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11</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143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75.66%</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93.35</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143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80.34%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61.8%</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中国文化概论</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167</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14</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125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74.85%</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94.41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126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82.35%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60.78%</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法律基础</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122</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104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85.25%</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94.17</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104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89.66%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66.38%</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大学生恋爱与性健康</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117</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75.21%</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92.91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88</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80.73%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55.96%</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时间管理</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114</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91</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79.82%</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94.58</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87.85%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74.77%</w:t>
            </w:r>
          </w:p>
        </w:tc>
      </w:tr>
      <w:tr>
        <w:tblPrEx>
          <w:tblLayout w:type="fixed"/>
          <w:tblCellMar>
            <w:top w:w="0" w:type="dxa"/>
            <w:left w:w="108" w:type="dxa"/>
            <w:bottom w:w="0" w:type="dxa"/>
            <w:right w:w="108" w:type="dxa"/>
          </w:tblCellMar>
        </w:tblPrEx>
        <w:trPr>
          <w:trHeight w:val="510" w:hRule="atLeast"/>
        </w:trPr>
        <w:tc>
          <w:tcPr>
            <w:tcW w:w="1985" w:type="dxa"/>
            <w:tcBorders>
              <w:top w:val="single" w:color="auto" w:sz="4" w:space="0"/>
              <w:left w:val="single" w:color="auto" w:sz="4" w:space="0"/>
              <w:bottom w:val="single" w:color="auto" w:sz="4" w:space="0"/>
              <w:right w:val="single" w:color="auto" w:sz="4" w:space="0"/>
            </w:tcBorders>
            <w:shd w:val="clear" w:color="auto" w:fill="DAA454" w:themeFill="text2" w:themeFillTint="99"/>
            <w:vAlign w:val="center"/>
          </w:tcPr>
          <w:p>
            <w:pPr>
              <w:widowControl/>
              <w:spacing w:line="240" w:lineRule="auto"/>
              <w:jc w:val="center"/>
              <w:rPr>
                <w:rFonts w:ascii="Arial" w:hAnsi="Arial" w:eastAsia="宋体" w:cs="Arial"/>
                <w:b/>
                <w:color w:val="000000"/>
                <w:kern w:val="0"/>
                <w:szCs w:val="21"/>
              </w:rPr>
            </w:pPr>
            <w:r>
              <w:rPr>
                <w:rFonts w:ascii="Arial" w:hAnsi="Arial" w:eastAsia="宋体" w:cs="Arial"/>
                <w:b/>
                <w:color w:val="000000"/>
                <w:kern w:val="0"/>
                <w:szCs w:val="21"/>
              </w:rPr>
              <w:t>公共关系礼仪实务</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110</w:t>
            </w:r>
          </w:p>
        </w:tc>
        <w:tc>
          <w:tcPr>
            <w:tcW w:w="993" w:type="dxa"/>
            <w:tcBorders>
              <w:top w:val="single" w:color="auto" w:sz="4" w:space="0"/>
              <w:left w:val="nil"/>
              <w:bottom w:val="single" w:color="auto" w:sz="4" w:space="0"/>
              <w:right w:val="single" w:color="auto" w:sz="4" w:space="0"/>
            </w:tcBorders>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83</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75.45%</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94.81</w:t>
            </w:r>
          </w:p>
        </w:tc>
        <w:tc>
          <w:tcPr>
            <w:tcW w:w="993"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86</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85.15%</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Arial" w:hAnsi="Arial" w:eastAsia="宋体" w:cs="Arial"/>
                <w:color w:val="000000"/>
                <w:kern w:val="0"/>
                <w:szCs w:val="21"/>
              </w:rPr>
            </w:pPr>
            <w:r>
              <w:rPr>
                <w:rFonts w:ascii="Arial" w:hAnsi="Arial" w:eastAsia="宋体" w:cs="Arial"/>
                <w:color w:val="000000"/>
                <w:kern w:val="0"/>
                <w:szCs w:val="21"/>
              </w:rPr>
              <w:t>65.35%</w:t>
            </w:r>
          </w:p>
        </w:tc>
      </w:tr>
    </w:tbl>
    <w:p>
      <w:pPr>
        <w:spacing w:line="360" w:lineRule="auto"/>
        <w:jc w:val="center"/>
        <w:rPr>
          <w:rFonts w:ascii="Arial" w:hAnsi="Arial" w:eastAsia="楷体" w:cs="Arial"/>
          <w:b/>
          <w:szCs w:val="21"/>
          <w:lang w:val="zh-TW"/>
        </w:rPr>
      </w:pPr>
      <w:r>
        <w:rPr>
          <w:rFonts w:ascii="Arial" w:hAnsi="Arial" w:eastAsia="楷体" w:cs="Arial"/>
          <w:b/>
          <w:szCs w:val="21"/>
          <w:lang w:val="zh-TW"/>
        </w:rPr>
        <w:t>选课量前20的课程考核成绩表</w:t>
      </w:r>
    </w:p>
    <w:p>
      <w:pPr>
        <w:pBdr>
          <w:top w:val="none" w:color="auto" w:sz="0" w:space="0"/>
          <w:left w:val="none" w:color="auto" w:sz="0" w:space="0"/>
          <w:bottom w:val="none" w:color="auto" w:sz="0" w:space="0"/>
          <w:right w:val="none" w:color="auto" w:sz="0" w:space="0"/>
          <w:between w:val="none" w:color="auto" w:sz="0" w:space="0"/>
        </w:pBdr>
        <w:spacing w:line="360" w:lineRule="auto"/>
        <w:ind w:firstLine="424" w:firstLineChars="193"/>
        <w:jc w:val="left"/>
        <w:rPr>
          <w:rFonts w:ascii="Arial" w:hAnsi="Arial" w:eastAsia="楷体" w:cs="Arial"/>
          <w:color w:val="A36520" w:themeColor="accent2" w:themeShade="BF"/>
          <w:sz w:val="22"/>
          <w:szCs w:val="24"/>
          <w:lang w:val="zh-TW"/>
        </w:rPr>
      </w:pPr>
      <w:r>
        <w:rPr>
          <w:rFonts w:ascii="Arial" w:hAnsi="Arial" w:eastAsia="楷体" w:cs="Arial"/>
          <w:color w:val="A36520" w:themeColor="accent2" w:themeShade="BF"/>
          <w:sz w:val="22"/>
          <w:szCs w:val="24"/>
          <w:lang w:val="zh-TW"/>
        </w:rPr>
        <w:t>【说明：各课程的考核详情请参阅本报告的附录2《课程考核成绩表》】</w:t>
      </w:r>
    </w:p>
    <w:p>
      <w:pPr>
        <w:spacing w:line="360" w:lineRule="auto"/>
        <w:ind w:firstLine="480" w:firstLineChars="200"/>
        <w:jc w:val="left"/>
        <w:rPr>
          <w:rFonts w:ascii="Arial" w:hAnsi="Arial" w:cs="Arial"/>
          <w:sz w:val="24"/>
          <w:szCs w:val="24"/>
        </w:rPr>
      </w:pPr>
      <w:r>
        <w:rPr>
          <w:rFonts w:ascii="Arial" w:hAnsi="Arial" w:cs="Arial"/>
          <w:sz w:val="24"/>
          <w:szCs w:val="24"/>
        </w:rPr>
        <w:t>根据上表，可将选课量前20课程的考核通过率和优秀率绘制如下：</w:t>
      </w:r>
    </w:p>
    <w:p>
      <w:pPr>
        <w:spacing w:line="360" w:lineRule="auto"/>
        <w:jc w:val="center"/>
        <w:rPr>
          <w:rFonts w:ascii="Arial" w:hAnsi="Arial" w:eastAsia="楷体" w:cs="Arial"/>
          <w:b/>
          <w:szCs w:val="21"/>
          <w:lang w:val="zh-TW"/>
        </w:rPr>
      </w:pPr>
      <w:r>
        <w:rPr>
          <w:rFonts w:ascii="Arial" w:hAnsi="Arial" w:cs="Arial"/>
          <w:sz w:val="24"/>
          <w:szCs w:val="24"/>
        </w:rPr>
        <w:drawing>
          <wp:inline distT="0" distB="0" distL="0" distR="0">
            <wp:extent cx="5356860" cy="2602865"/>
            <wp:effectExtent l="0" t="0" r="15240" b="26035"/>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ascii="Arial" w:hAnsi="Arial" w:eastAsia="楷体" w:cs="Arial"/>
          <w:b/>
          <w:szCs w:val="21"/>
          <w:lang w:val="zh-TW"/>
        </w:rPr>
        <w:t>选课量前20课程的通过率/优秀率线状分析图</w:t>
      </w:r>
    </w:p>
    <w:p>
      <w:pPr>
        <w:spacing w:line="360" w:lineRule="auto"/>
        <w:ind w:firstLine="480" w:firstLineChars="200"/>
        <w:jc w:val="left"/>
        <w:rPr>
          <w:rFonts w:ascii="Arial" w:hAnsi="Arial" w:cs="Arial"/>
          <w:sz w:val="24"/>
          <w:szCs w:val="24"/>
        </w:rPr>
      </w:pPr>
      <w:r>
        <w:rPr>
          <w:rFonts w:ascii="Arial" w:hAnsi="Arial" w:cs="Arial"/>
          <w:sz w:val="24"/>
          <w:szCs w:val="24"/>
        </w:rPr>
        <w:t>由图可知，各课程的考核通过率整体趋势较为稳定，但《大学生恋爱与性健康》、《有效沟通技巧》等课程的优秀率明显较低，建议在下学期开设这几门课时可注意加强教学管理，安排配备相应的助教。</w:t>
      </w:r>
    </w:p>
    <w:p>
      <w:pPr>
        <w:pStyle w:val="4"/>
        <w:rPr>
          <w:rFonts w:ascii="Arial" w:hAnsi="Arial" w:cs="Arial"/>
          <w:lang w:eastAsia="zh-CN"/>
        </w:rPr>
      </w:pPr>
      <w:bookmarkStart w:id="16" w:name="_Toc18165"/>
      <w:r>
        <w:rPr>
          <w:rFonts w:ascii="Arial" w:hAnsi="Arial" w:cs="Arial"/>
        </w:rPr>
        <w:t>3.</w:t>
      </w:r>
      <w:r>
        <w:rPr>
          <w:rFonts w:ascii="Arial" w:hAnsi="Arial" w:cs="Arial"/>
          <w:lang w:eastAsia="zh-CN"/>
        </w:rPr>
        <w:t>2</w:t>
      </w:r>
      <w:r>
        <w:rPr>
          <w:rFonts w:ascii="Arial" w:hAnsi="Arial" w:cs="Arial"/>
        </w:rPr>
        <w:t>.2</w:t>
      </w:r>
      <w:r>
        <w:rPr>
          <w:rFonts w:ascii="Arial" w:hAnsi="Arial" w:cs="Arial"/>
          <w:lang w:eastAsia="zh-CN"/>
        </w:rPr>
        <w:t xml:space="preserve"> </w:t>
      </w:r>
      <w:r>
        <w:rPr>
          <w:rFonts w:ascii="Arial" w:hAnsi="Arial" w:cs="Arial"/>
        </w:rPr>
        <w:t>课程平均</w:t>
      </w:r>
      <w:r>
        <w:rPr>
          <w:rFonts w:ascii="Arial" w:hAnsi="Arial" w:cs="Arial"/>
          <w:lang w:eastAsia="zh-CN"/>
        </w:rPr>
        <w:t>考核</w:t>
      </w:r>
      <w:r>
        <w:rPr>
          <w:rFonts w:ascii="Arial" w:hAnsi="Arial" w:cs="Arial"/>
        </w:rPr>
        <w:t>成绩</w:t>
      </w:r>
      <w:r>
        <w:rPr>
          <w:rFonts w:ascii="Arial" w:hAnsi="Arial" w:cs="Arial"/>
          <w:lang w:eastAsia="zh-CN"/>
        </w:rPr>
        <w:t>统计</w:t>
      </w:r>
      <w:bookmarkEnd w:id="16"/>
    </w:p>
    <w:p>
      <w:pPr>
        <w:spacing w:line="360" w:lineRule="auto"/>
        <w:ind w:firstLine="480" w:firstLineChars="200"/>
        <w:jc w:val="left"/>
        <w:rPr>
          <w:rFonts w:ascii="Arial" w:hAnsi="Arial" w:cs="Arial"/>
          <w:sz w:val="24"/>
          <w:szCs w:val="24"/>
        </w:rPr>
      </w:pPr>
      <w:r>
        <w:rPr>
          <w:rFonts w:hint="eastAsia" w:ascii="Arial" w:hAnsi="Arial" w:cs="Arial"/>
          <w:sz w:val="24"/>
          <w:szCs w:val="24"/>
        </w:rPr>
        <w:t>贵校学生的平均考核成绩为</w:t>
      </w:r>
      <w:r>
        <w:rPr>
          <w:rFonts w:ascii="Arial" w:hAnsi="Arial" w:cs="Arial"/>
          <w:sz w:val="24"/>
          <w:szCs w:val="24"/>
        </w:rPr>
        <w:t>95.09</w:t>
      </w:r>
      <w:r>
        <w:rPr>
          <w:rFonts w:hint="eastAsia" w:ascii="Arial" w:hAnsi="Arial" w:cs="Arial"/>
          <w:sz w:val="24"/>
          <w:szCs w:val="24"/>
        </w:rPr>
        <w:t>，各门课程的平均成绩分布情况如下图所示：</w:t>
      </w:r>
    </w:p>
    <w:p>
      <w:pPr>
        <w:spacing w:line="360" w:lineRule="auto"/>
        <w:jc w:val="center"/>
        <w:rPr>
          <w:rFonts w:ascii="Arial" w:hAnsi="Arial" w:eastAsia="楷体" w:cs="Arial"/>
          <w:b/>
          <w:szCs w:val="21"/>
          <w:lang w:val="zh-TW"/>
        </w:rPr>
      </w:pPr>
      <w:r>
        <w:rPr>
          <w:rFonts w:hint="eastAsia" w:ascii="Arial" w:hAnsi="Arial" w:cs="Arial"/>
          <w:sz w:val="24"/>
          <w:szCs w:val="24"/>
        </w:rPr>
        <w:drawing>
          <wp:inline distT="0" distB="0" distL="0" distR="0">
            <wp:extent cx="5274310" cy="3076575"/>
            <wp:effectExtent l="0" t="0" r="2159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Arial" w:hAnsi="Arial" w:eastAsia="楷体" w:cs="Arial"/>
          <w:b/>
          <w:szCs w:val="21"/>
          <w:lang w:val="zh-TW"/>
        </w:rPr>
        <w:t>课程平均考核成绩分布图</w:t>
      </w:r>
    </w:p>
    <w:p>
      <w:pPr>
        <w:spacing w:line="360" w:lineRule="auto"/>
        <w:ind w:firstLine="480" w:firstLineChars="200"/>
        <w:jc w:val="left"/>
        <w:rPr>
          <w:rFonts w:ascii="Arial" w:hAnsi="Arial" w:cs="Arial"/>
          <w:sz w:val="24"/>
          <w:szCs w:val="24"/>
        </w:rPr>
      </w:pPr>
      <w:r>
        <w:rPr>
          <w:rFonts w:ascii="Arial" w:hAnsi="Arial" w:cs="Arial"/>
          <w:sz w:val="24"/>
          <w:szCs w:val="24"/>
          <w:lang w:eastAsia="zh-TW"/>
        </w:rPr>
        <w:t>由上可知，</w:t>
      </w:r>
      <w:r>
        <w:rPr>
          <w:rFonts w:hint="eastAsia" w:ascii="Arial" w:hAnsi="Arial" w:cs="Arial"/>
          <w:sz w:val="24"/>
          <w:szCs w:val="24"/>
          <w:lang w:eastAsia="zh-TW"/>
        </w:rPr>
        <w:t>贵校学生所选的各门课程的考核平均成绩主要集中在</w:t>
      </w:r>
      <w:r>
        <w:rPr>
          <w:rFonts w:ascii="Arial" w:hAnsi="Arial" w:cs="Arial"/>
          <w:sz w:val="24"/>
          <w:szCs w:val="24"/>
          <w:lang w:eastAsia="zh-TW"/>
        </w:rPr>
        <w:t>90-100分和80-90分</w:t>
      </w:r>
      <w:r>
        <w:rPr>
          <w:rFonts w:hint="eastAsia" w:ascii="Arial" w:hAnsi="Arial" w:cs="Arial"/>
          <w:sz w:val="24"/>
          <w:szCs w:val="24"/>
          <w:lang w:eastAsia="zh-TW"/>
        </w:rPr>
        <w:t>的分数段，整体学习效果较好。</w:t>
      </w:r>
    </w:p>
    <w:p>
      <w:pPr>
        <w:pStyle w:val="4"/>
        <w:rPr>
          <w:rFonts w:ascii="Arial" w:hAnsi="Arial" w:cs="Arial"/>
        </w:rPr>
      </w:pPr>
      <w:bookmarkStart w:id="17" w:name="_Toc2882"/>
      <w:r>
        <w:rPr>
          <w:rFonts w:ascii="Arial" w:hAnsi="Arial" w:cs="Arial"/>
        </w:rPr>
        <w:t>3.</w:t>
      </w:r>
      <w:r>
        <w:rPr>
          <w:rFonts w:ascii="Arial" w:hAnsi="Arial" w:cs="Arial"/>
          <w:lang w:eastAsia="zh-CN"/>
        </w:rPr>
        <w:t>2</w:t>
      </w:r>
      <w:r>
        <w:rPr>
          <w:rFonts w:ascii="Arial" w:hAnsi="Arial" w:cs="Arial"/>
        </w:rPr>
        <w:t>.3 各</w:t>
      </w:r>
      <w:r>
        <w:rPr>
          <w:rFonts w:ascii="Arial" w:hAnsi="Arial" w:cs="Arial"/>
          <w:lang w:eastAsia="zh-CN"/>
        </w:rPr>
        <w:t>院系</w:t>
      </w:r>
      <w:r>
        <w:rPr>
          <w:rFonts w:ascii="Arial" w:hAnsi="Arial" w:cs="Arial"/>
        </w:rPr>
        <w:t>学生成绩情况统计</w:t>
      </w:r>
      <w:bookmarkEnd w:id="17"/>
    </w:p>
    <w:p>
      <w:pPr>
        <w:spacing w:line="360" w:lineRule="auto"/>
        <w:ind w:firstLine="480" w:firstLineChars="200"/>
        <w:rPr>
          <w:rFonts w:ascii="Arial" w:hAnsi="Arial" w:cs="Arial"/>
          <w:sz w:val="24"/>
          <w:szCs w:val="24"/>
        </w:rPr>
      </w:pPr>
      <w:r>
        <w:rPr>
          <w:rFonts w:ascii="Arial" w:hAnsi="Arial" w:cs="Arial"/>
          <w:sz w:val="24"/>
          <w:szCs w:val="24"/>
        </w:rPr>
        <w:t>为进一步体现贵校各院系的学习情况，现将贵校各院系的成绩情况统计如下：</w:t>
      </w:r>
    </w:p>
    <w:tbl>
      <w:tblPr>
        <w:tblStyle w:val="40"/>
        <w:tblW w:w="9387" w:type="dxa"/>
        <w:jc w:val="center"/>
        <w:tblInd w:w="104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84"/>
        <w:gridCol w:w="868"/>
        <w:gridCol w:w="833"/>
        <w:gridCol w:w="833"/>
        <w:gridCol w:w="1134"/>
        <w:gridCol w:w="992"/>
        <w:gridCol w:w="992"/>
        <w:gridCol w:w="1136"/>
        <w:gridCol w:w="9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rPr>
              <w:t>院系</w:t>
            </w:r>
            <w:r>
              <w:rPr>
                <w:rFonts w:ascii="Arial" w:hAnsi="Arial" w:eastAsia="黑体" w:cs="Arial"/>
                <w:b/>
                <w:bCs/>
                <w:kern w:val="0"/>
                <w:sz w:val="21"/>
                <w:szCs w:val="21"/>
                <w:u w:color="000000"/>
                <w:lang w:val="zh-TW" w:eastAsia="zh-TW"/>
              </w:rPr>
              <w:t>名称</w:t>
            </w:r>
          </w:p>
        </w:tc>
        <w:tc>
          <w:tcPr>
            <w:tcW w:w="868"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选课</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人次数</w:t>
            </w:r>
          </w:p>
        </w:tc>
        <w:tc>
          <w:tcPr>
            <w:tcW w:w="833"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hint="eastAsia" w:ascii="Arial" w:hAnsi="Arial" w:eastAsia="黑体" w:cs="Arial"/>
                <w:b/>
                <w:bCs/>
                <w:kern w:val="0"/>
                <w:sz w:val="21"/>
                <w:szCs w:val="21"/>
                <w:u w:color="000000"/>
                <w:lang w:val="zh-TW"/>
              </w:rPr>
            </w:pPr>
            <w:r>
              <w:rPr>
                <w:rFonts w:hint="eastAsia" w:ascii="Arial" w:hAnsi="Arial" w:eastAsia="黑体" w:cs="Arial"/>
                <w:b/>
                <w:bCs/>
                <w:kern w:val="0"/>
                <w:sz w:val="21"/>
                <w:szCs w:val="21"/>
                <w:u w:color="000000"/>
                <w:lang w:val="zh-TW"/>
              </w:rPr>
              <w:t>未登录</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人数</w:t>
            </w:r>
          </w:p>
        </w:tc>
        <w:tc>
          <w:tcPr>
            <w:tcW w:w="833"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考试</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人次数</w:t>
            </w:r>
          </w:p>
        </w:tc>
        <w:tc>
          <w:tcPr>
            <w:tcW w:w="1134"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选考</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人次比</w:t>
            </w:r>
          </w:p>
        </w:tc>
        <w:tc>
          <w:tcPr>
            <w:tcW w:w="992"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平均</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成绩</w:t>
            </w:r>
          </w:p>
        </w:tc>
        <w:tc>
          <w:tcPr>
            <w:tcW w:w="992"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已通过</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人次数</w:t>
            </w:r>
          </w:p>
        </w:tc>
        <w:tc>
          <w:tcPr>
            <w:tcW w:w="1136"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rPr>
            </w:pPr>
            <w:r>
              <w:rPr>
                <w:rFonts w:ascii="Arial" w:hAnsi="Arial" w:eastAsia="黑体" w:cs="Arial"/>
                <w:b/>
                <w:bCs/>
                <w:kern w:val="0"/>
                <w:sz w:val="21"/>
                <w:szCs w:val="21"/>
                <w:u w:color="000000"/>
                <w:lang w:val="zh-TW" w:eastAsia="zh-TW"/>
              </w:rPr>
              <w:t>考核</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通过率</w:t>
            </w:r>
          </w:p>
        </w:tc>
        <w:tc>
          <w:tcPr>
            <w:tcW w:w="915"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优秀率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汽车学院</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5039</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277</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4453</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88.37%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4460</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93.66%</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73.79%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物流学院</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2999</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103</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2704</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90.16%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94.62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2712</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93.65%</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74.1%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公路学院</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2595</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173</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2222</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85.63%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94.59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2228</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91.99%</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71.18%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交通信息工程系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2425</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148</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1901</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78.39%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95.89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1943</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85.33%</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71.37%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建筑工程系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1887</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85</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1644</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87.12%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95.85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1651</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91.62%</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77.19%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轨道交通学院</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1009</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47</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895</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88.7%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95.78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902</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93.76%</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79.63%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商务旅游系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685</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31</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630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91.97%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96.84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635</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97.09%</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85.17%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航运海事系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626</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33</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517</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82.59%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93.54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520</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87.69%</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65.6%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其他院系</w:t>
            </w:r>
          </w:p>
        </w:tc>
        <w:tc>
          <w:tcPr>
            <w:tcW w:w="868"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34</w:t>
            </w:r>
          </w:p>
        </w:tc>
        <w:tc>
          <w:tcPr>
            <w:tcW w:w="833"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3</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26</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76.47%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93.19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26</w:t>
            </w:r>
          </w:p>
        </w:tc>
        <w:tc>
          <w:tcPr>
            <w:tcW w:w="113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83.87%</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kern w:val="0"/>
                <w:sz w:val="21"/>
                <w:szCs w:val="21"/>
              </w:rPr>
            </w:pPr>
            <w:r>
              <w:rPr>
                <w:rFonts w:ascii="Arial" w:hAnsi="Arial" w:cs="Arial"/>
                <w:kern w:val="0"/>
                <w:sz w:val="21"/>
                <w:szCs w:val="21"/>
              </w:rPr>
              <w:t>70.97%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0" w:hRule="atLeast"/>
          <w:jc w:val="center"/>
        </w:trPr>
        <w:tc>
          <w:tcPr>
            <w:tcW w:w="1684"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宋体" w:cs="Arial"/>
                <w:b/>
                <w:color w:val="000000"/>
                <w:kern w:val="0"/>
                <w:sz w:val="21"/>
                <w:szCs w:val="21"/>
              </w:rPr>
            </w:pPr>
            <w:r>
              <w:rPr>
                <w:rFonts w:ascii="Arial" w:hAnsi="Arial" w:eastAsia="宋体" w:cs="Arial"/>
                <w:b/>
                <w:color w:val="000000"/>
                <w:kern w:val="0"/>
                <w:sz w:val="21"/>
                <w:szCs w:val="21"/>
              </w:rPr>
              <w:t>合计</w:t>
            </w:r>
          </w:p>
        </w:tc>
        <w:tc>
          <w:tcPr>
            <w:tcW w:w="868"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17299</w:t>
            </w:r>
          </w:p>
        </w:tc>
        <w:tc>
          <w:tcPr>
            <w:tcW w:w="833"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900</w:t>
            </w:r>
          </w:p>
        </w:tc>
        <w:tc>
          <w:tcPr>
            <w:tcW w:w="833"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14992</w:t>
            </w:r>
          </w:p>
        </w:tc>
        <w:tc>
          <w:tcPr>
            <w:tcW w:w="1134"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86.66%</w:t>
            </w:r>
          </w:p>
        </w:tc>
        <w:tc>
          <w:tcPr>
            <w:tcW w:w="992"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95.09</w:t>
            </w:r>
          </w:p>
        </w:tc>
        <w:tc>
          <w:tcPr>
            <w:tcW w:w="992"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15077</w:t>
            </w:r>
          </w:p>
        </w:tc>
        <w:tc>
          <w:tcPr>
            <w:tcW w:w="1136"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91.94%</w:t>
            </w:r>
          </w:p>
        </w:tc>
        <w:tc>
          <w:tcPr>
            <w:tcW w:w="915"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kern w:val="0"/>
                <w:sz w:val="21"/>
                <w:szCs w:val="21"/>
              </w:rPr>
            </w:pPr>
            <w:r>
              <w:rPr>
                <w:rFonts w:ascii="Arial" w:hAnsi="Arial" w:cs="Arial"/>
                <w:b/>
                <w:kern w:val="0"/>
                <w:sz w:val="21"/>
                <w:szCs w:val="21"/>
              </w:rPr>
              <w:t>73.99%</w:t>
            </w:r>
          </w:p>
        </w:tc>
      </w:tr>
    </w:tbl>
    <w:p>
      <w:pPr>
        <w:spacing w:line="360" w:lineRule="auto"/>
        <w:jc w:val="center"/>
        <w:rPr>
          <w:rFonts w:ascii="Arial" w:hAnsi="Arial" w:eastAsia="楷体" w:cs="Arial"/>
          <w:b/>
          <w:szCs w:val="21"/>
          <w:lang w:val="zh-TW"/>
        </w:rPr>
      </w:pPr>
      <w:r>
        <w:rPr>
          <w:rFonts w:ascii="Arial" w:hAnsi="Arial" w:eastAsia="楷体" w:cs="Arial"/>
          <w:b/>
          <w:szCs w:val="21"/>
          <w:lang w:val="zh-TW"/>
        </w:rPr>
        <w:t>河南交通职业技术学院各院系成绩情况</w:t>
      </w:r>
    </w:p>
    <w:p>
      <w:pPr>
        <w:spacing w:line="360" w:lineRule="auto"/>
        <w:ind w:firstLine="480" w:firstLineChars="200"/>
        <w:rPr>
          <w:rFonts w:ascii="Arial" w:hAnsi="Arial" w:cs="Arial"/>
          <w:sz w:val="24"/>
          <w:szCs w:val="24"/>
        </w:rPr>
      </w:pPr>
      <w:r>
        <w:rPr>
          <w:rFonts w:ascii="Arial" w:hAnsi="Arial" w:cs="Arial"/>
          <w:sz w:val="24"/>
          <w:szCs w:val="24"/>
        </w:rPr>
        <w:t>根据上表数据，可将各院系考核通过</w:t>
      </w:r>
      <w:r>
        <w:rPr>
          <w:rFonts w:hint="eastAsia" w:ascii="Arial" w:hAnsi="Arial" w:cs="Arial"/>
          <w:sz w:val="24"/>
          <w:szCs w:val="24"/>
        </w:rPr>
        <w:t>及优秀率</w:t>
      </w:r>
      <w:r>
        <w:rPr>
          <w:rFonts w:ascii="Arial" w:hAnsi="Arial" w:cs="Arial"/>
          <w:sz w:val="24"/>
          <w:szCs w:val="24"/>
        </w:rPr>
        <w:t>情况整理如下图：</w:t>
      </w:r>
    </w:p>
    <w:p>
      <w:pPr>
        <w:spacing w:line="360" w:lineRule="auto"/>
        <w:jc w:val="left"/>
        <w:rPr>
          <w:rFonts w:ascii="Arial" w:hAnsi="Arial" w:cs="Arial"/>
          <w:sz w:val="24"/>
          <w:szCs w:val="24"/>
        </w:rPr>
      </w:pPr>
      <w:r>
        <w:rPr>
          <w:rFonts w:ascii="Arial" w:hAnsi="Arial" w:cs="Arial"/>
          <w:sz w:val="24"/>
          <w:szCs w:val="24"/>
        </w:rPr>
        <w:drawing>
          <wp:inline distT="0" distB="0" distL="0" distR="0">
            <wp:extent cx="5178425" cy="2623185"/>
            <wp:effectExtent l="0" t="0" r="22225" b="24765"/>
            <wp:docPr id="43" name="图表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河南交通职业技术学院各学院考核通过率</w:t>
      </w:r>
      <w:r>
        <w:rPr>
          <w:rFonts w:hint="eastAsia" w:ascii="Arial" w:hAnsi="Arial" w:eastAsia="楷体" w:cs="Arial"/>
          <w:b/>
          <w:szCs w:val="21"/>
          <w:lang w:val="zh-TW"/>
        </w:rPr>
        <w:t>/优秀率</w:t>
      </w:r>
      <w:r>
        <w:rPr>
          <w:rFonts w:ascii="Arial" w:hAnsi="Arial" w:eastAsia="楷体" w:cs="Arial"/>
          <w:b/>
          <w:szCs w:val="21"/>
          <w:lang w:val="zh-TW"/>
        </w:rPr>
        <w:t>对比图</w:t>
      </w:r>
    </w:p>
    <w:p>
      <w:pPr>
        <w:spacing w:line="360" w:lineRule="auto"/>
        <w:ind w:firstLine="480" w:firstLineChars="200"/>
        <w:rPr>
          <w:rFonts w:ascii="Arial" w:hAnsi="Arial" w:cs="Arial"/>
          <w:sz w:val="24"/>
          <w:szCs w:val="24"/>
        </w:rPr>
      </w:pPr>
      <w:r>
        <w:rPr>
          <w:rFonts w:ascii="Arial" w:hAnsi="Arial" w:cs="Arial"/>
          <w:sz w:val="24"/>
          <w:szCs w:val="24"/>
        </w:rPr>
        <w:t>另外，各学院平均成绩对比如下图所示：</w:t>
      </w:r>
    </w:p>
    <w:p>
      <w:pPr>
        <w:spacing w:line="360" w:lineRule="auto"/>
        <w:jc w:val="center"/>
        <w:rPr>
          <w:rFonts w:ascii="Arial" w:hAnsi="Arial" w:cs="Arial"/>
          <w:sz w:val="24"/>
          <w:szCs w:val="24"/>
        </w:rPr>
      </w:pPr>
      <w:r>
        <w:rPr>
          <w:rFonts w:ascii="Arial" w:hAnsi="Arial" w:cs="Arial"/>
          <w:sz w:val="24"/>
          <w:szCs w:val="24"/>
        </w:rPr>
        <w:drawing>
          <wp:inline distT="0" distB="0" distL="0" distR="0">
            <wp:extent cx="4973320" cy="1862455"/>
            <wp:effectExtent l="0" t="0" r="17780" b="23495"/>
            <wp:docPr id="44" name="图表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河南交通职业技术学院各院系平均成绩对比图</w:t>
      </w:r>
    </w:p>
    <w:p>
      <w:pPr>
        <w:pStyle w:val="3"/>
        <w:rPr>
          <w:rFonts w:ascii="Arial" w:hAnsi="Arial" w:cs="Arial"/>
        </w:rPr>
      </w:pPr>
      <w:bookmarkStart w:id="18" w:name="_Toc4318"/>
      <w:r>
        <w:rPr>
          <w:rFonts w:ascii="Arial" w:hAnsi="Arial" w:cs="Arial"/>
        </w:rPr>
        <w:t>3.3 学习过程数据追踪分析</w:t>
      </w:r>
      <w:bookmarkEnd w:id="18"/>
    </w:p>
    <w:p>
      <w:pPr>
        <w:pStyle w:val="4"/>
        <w:rPr>
          <w:rFonts w:ascii="Arial" w:hAnsi="Arial" w:cs="Arial"/>
        </w:rPr>
      </w:pPr>
      <w:bookmarkStart w:id="19" w:name="_Toc8887"/>
      <w:r>
        <w:rPr>
          <w:rFonts w:ascii="Arial" w:hAnsi="Arial" w:cs="Arial"/>
        </w:rPr>
        <w:t>3.</w:t>
      </w:r>
      <w:r>
        <w:rPr>
          <w:rFonts w:ascii="Arial" w:hAnsi="Arial" w:cs="Arial"/>
          <w:lang w:eastAsia="zh-CN"/>
        </w:rPr>
        <w:t>3</w:t>
      </w:r>
      <w:r>
        <w:rPr>
          <w:rFonts w:ascii="Arial" w:hAnsi="Arial" w:cs="Arial"/>
        </w:rPr>
        <w:t>.1 学习访问情况</w:t>
      </w:r>
      <w:bookmarkEnd w:id="19"/>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3.3.1.1 访问量（按月）</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综合</w:t>
      </w:r>
      <w:r>
        <w:rPr>
          <w:rFonts w:ascii="Arial" w:hAnsi="Arial" w:cs="Arial"/>
          <w:sz w:val="24"/>
          <w:szCs w:val="24"/>
          <w:highlight w:val="none"/>
          <w:lang w:val="zh-TW"/>
        </w:rPr>
        <w:t>201</w:t>
      </w:r>
      <w:r>
        <w:rPr>
          <w:rFonts w:hint="eastAsia" w:ascii="Arial" w:hAnsi="Arial" w:cs="Arial"/>
          <w:sz w:val="24"/>
          <w:szCs w:val="24"/>
          <w:highlight w:val="none"/>
          <w:lang w:val="en-US" w:eastAsia="zh-CN"/>
        </w:rPr>
        <w:t>8</w:t>
      </w:r>
      <w:r>
        <w:rPr>
          <w:rFonts w:ascii="Arial" w:hAnsi="Arial" w:cs="Arial"/>
          <w:sz w:val="24"/>
          <w:szCs w:val="24"/>
          <w:highlight w:val="none"/>
          <w:lang w:val="zh-TW"/>
        </w:rPr>
        <w:t>年</w:t>
      </w:r>
      <w:r>
        <w:rPr>
          <w:rFonts w:hint="eastAsia" w:ascii="Arial" w:hAnsi="Arial" w:cs="Arial"/>
          <w:sz w:val="24"/>
          <w:szCs w:val="24"/>
          <w:highlight w:val="none"/>
          <w:lang w:val="en-US" w:eastAsia="zh-CN"/>
        </w:rPr>
        <w:t>4</w:t>
      </w:r>
      <w:r>
        <w:rPr>
          <w:rFonts w:ascii="Arial" w:hAnsi="Arial" w:cs="Arial"/>
          <w:sz w:val="24"/>
          <w:szCs w:val="24"/>
          <w:highlight w:val="none"/>
          <w:lang w:val="zh-TW"/>
        </w:rPr>
        <w:t>月至201</w:t>
      </w:r>
      <w:r>
        <w:rPr>
          <w:rFonts w:hint="eastAsia" w:ascii="Arial" w:hAnsi="Arial" w:cs="Arial"/>
          <w:sz w:val="24"/>
          <w:szCs w:val="24"/>
          <w:highlight w:val="none"/>
          <w:lang w:val="en-US" w:eastAsia="zh-CN"/>
        </w:rPr>
        <w:t>8</w:t>
      </w:r>
      <w:r>
        <w:rPr>
          <w:rFonts w:ascii="Arial" w:hAnsi="Arial" w:cs="Arial"/>
          <w:sz w:val="24"/>
          <w:szCs w:val="24"/>
          <w:highlight w:val="none"/>
          <w:lang w:val="zh-TW"/>
        </w:rPr>
        <w:t>年</w:t>
      </w:r>
      <w:r>
        <w:rPr>
          <w:rFonts w:hint="eastAsia" w:ascii="Arial" w:hAnsi="Arial" w:cs="Arial"/>
          <w:sz w:val="24"/>
          <w:szCs w:val="24"/>
          <w:highlight w:val="none"/>
          <w:lang w:val="en-US" w:eastAsia="zh-CN"/>
        </w:rPr>
        <w:t>6</w:t>
      </w:r>
      <w:r>
        <w:rPr>
          <w:rFonts w:ascii="Arial" w:hAnsi="Arial" w:cs="Arial"/>
          <w:sz w:val="24"/>
          <w:szCs w:val="24"/>
          <w:highlight w:val="none"/>
          <w:lang w:val="zh-TW"/>
        </w:rPr>
        <w:t>月</w:t>
      </w:r>
      <w:r>
        <w:rPr>
          <w:rFonts w:ascii="Arial" w:hAnsi="Arial" w:cs="Arial"/>
          <w:sz w:val="24"/>
          <w:szCs w:val="24"/>
          <w:lang w:val="zh-TW"/>
        </w:rPr>
        <w:t>整个学期的学习数据，可以得出贵校学生在超星尔雅网络通识课平台的学习访问频数。此处以月为单位描绘出贵校学生在这</w:t>
      </w:r>
      <w:r>
        <w:rPr>
          <w:rFonts w:ascii="Arial" w:hAnsi="Arial" w:cs="Arial"/>
          <w:sz w:val="24"/>
          <w:szCs w:val="24"/>
          <w:highlight w:val="yellow"/>
          <w:lang w:val="zh-TW"/>
        </w:rPr>
        <w:t>7</w:t>
      </w:r>
      <w:r>
        <w:rPr>
          <w:rFonts w:ascii="Arial" w:hAnsi="Arial" w:cs="Arial"/>
          <w:sz w:val="24"/>
          <w:szCs w:val="24"/>
          <w:lang w:val="zh-TW"/>
        </w:rPr>
        <w:t>个月的访问情况，横坐标为该学期的月份，纵坐标为访问次数，统计结果如图所示：</w:t>
      </w:r>
    </w:p>
    <w:p>
      <w:pPr>
        <w:spacing w:line="360" w:lineRule="auto"/>
        <w:jc w:val="center"/>
        <w:rPr>
          <w:rFonts w:ascii="Arial" w:hAnsi="Arial" w:cs="Arial"/>
          <w:sz w:val="24"/>
          <w:szCs w:val="24"/>
          <w:lang w:val="zh-TW"/>
        </w:rPr>
      </w:pPr>
      <w:r>
        <w:rPr>
          <w:rFonts w:ascii="Arial" w:hAnsi="Arial" w:cs="Arial"/>
          <w:sz w:val="24"/>
          <w:szCs w:val="24"/>
        </w:rPr>
        <w:drawing>
          <wp:inline distT="0" distB="0" distL="0" distR="0">
            <wp:extent cx="4366895" cy="1743075"/>
            <wp:effectExtent l="0" t="0" r="14605"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学生的学习平台访问量（按月）情况图</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如图所示，5月为学生学习的高峰月，学习平台访问量呈急剧上升趋势。</w:t>
      </w:r>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3.3.1.2 访问量（按周）</w:t>
      </w:r>
    </w:p>
    <w:p>
      <w:pPr>
        <w:spacing w:line="360" w:lineRule="auto"/>
        <w:jc w:val="center"/>
        <w:rPr>
          <w:rFonts w:ascii="Arial" w:hAnsi="Arial" w:cs="Arial"/>
          <w:sz w:val="24"/>
          <w:szCs w:val="24"/>
          <w:lang w:val="zh-TW"/>
        </w:rPr>
      </w:pPr>
      <w:r>
        <w:rPr>
          <w:rFonts w:ascii="Arial" w:hAnsi="Arial" w:cs="Arial"/>
          <w:sz w:val="24"/>
          <w:szCs w:val="24"/>
        </w:rPr>
        <w:drawing>
          <wp:inline distT="0" distB="0" distL="0" distR="0">
            <wp:extent cx="5135880" cy="1854200"/>
            <wp:effectExtent l="0" t="0" r="26670" b="12700"/>
            <wp:docPr id="1073741856" name="officeArt object"/>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学生的学习平访问量（按周）情况图</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由图可知，学生们更倾向于在星期一、星期四、星期二进行在线课程的学习。</w:t>
      </w:r>
    </w:p>
    <w:p>
      <w:pPr>
        <w:spacing w:line="360" w:lineRule="auto"/>
        <w:ind w:firstLine="480" w:firstLineChars="200"/>
        <w:jc w:val="left"/>
        <w:rPr>
          <w:rFonts w:ascii="Arial" w:hAnsi="Arial" w:cs="Arial"/>
          <w:sz w:val="24"/>
          <w:szCs w:val="24"/>
          <w:lang w:val="zh-TW"/>
        </w:rPr>
      </w:pPr>
    </w:p>
    <w:p>
      <w:pPr>
        <w:spacing w:line="360" w:lineRule="auto"/>
        <w:ind w:firstLine="480" w:firstLineChars="200"/>
        <w:jc w:val="left"/>
        <w:rPr>
          <w:rFonts w:ascii="Arial" w:hAnsi="Arial" w:cs="Arial"/>
          <w:sz w:val="24"/>
          <w:szCs w:val="24"/>
          <w:lang w:val="zh-TW"/>
        </w:rPr>
      </w:pPr>
    </w:p>
    <w:p>
      <w:pPr>
        <w:spacing w:line="360" w:lineRule="auto"/>
        <w:ind w:firstLine="480" w:firstLineChars="200"/>
        <w:jc w:val="left"/>
        <w:rPr>
          <w:rFonts w:ascii="Arial" w:hAnsi="Arial" w:cs="Arial"/>
          <w:sz w:val="24"/>
          <w:szCs w:val="24"/>
          <w:lang w:val="zh-TW"/>
        </w:rPr>
      </w:pPr>
    </w:p>
    <w:p>
      <w:pPr>
        <w:spacing w:line="360" w:lineRule="auto"/>
        <w:ind w:firstLine="480" w:firstLineChars="200"/>
        <w:jc w:val="left"/>
        <w:rPr>
          <w:rFonts w:ascii="Arial" w:hAnsi="Arial" w:cs="Arial"/>
          <w:sz w:val="24"/>
          <w:szCs w:val="24"/>
          <w:lang w:val="zh-TW"/>
        </w:rPr>
      </w:pPr>
    </w:p>
    <w:p>
      <w:pPr>
        <w:spacing w:line="360" w:lineRule="auto"/>
        <w:ind w:firstLine="480" w:firstLineChars="200"/>
        <w:jc w:val="left"/>
        <w:rPr>
          <w:rFonts w:ascii="Arial" w:hAnsi="Arial" w:cs="Arial"/>
          <w:sz w:val="24"/>
          <w:szCs w:val="24"/>
          <w:lang w:val="zh-TW"/>
        </w:rPr>
      </w:pPr>
    </w:p>
    <w:p>
      <w:pPr>
        <w:spacing w:line="360" w:lineRule="auto"/>
        <w:ind w:firstLine="480" w:firstLineChars="200"/>
        <w:jc w:val="left"/>
        <w:rPr>
          <w:rFonts w:ascii="Arial" w:hAnsi="Arial" w:cs="Arial"/>
          <w:sz w:val="24"/>
          <w:szCs w:val="24"/>
          <w:lang w:val="zh-TW"/>
        </w:rPr>
      </w:pPr>
    </w:p>
    <w:p>
      <w:pPr>
        <w:spacing w:line="360" w:lineRule="auto"/>
        <w:ind w:firstLine="480" w:firstLineChars="200"/>
        <w:jc w:val="left"/>
        <w:rPr>
          <w:rFonts w:ascii="Arial" w:hAnsi="Arial" w:cs="Arial"/>
          <w:sz w:val="24"/>
          <w:szCs w:val="24"/>
          <w:lang w:val="zh-TW"/>
        </w:rPr>
      </w:pPr>
    </w:p>
    <w:p>
      <w:pPr>
        <w:pStyle w:val="42"/>
        <w:spacing w:line="360" w:lineRule="auto"/>
        <w:ind w:left="425" w:firstLine="0"/>
        <w:rPr>
          <w:rFonts w:ascii="Arial" w:hAnsi="Arial" w:eastAsia="宋体" w:cs="Arial"/>
          <w:b/>
          <w:bCs/>
          <w:color w:val="auto"/>
          <w:sz w:val="24"/>
          <w:szCs w:val="24"/>
          <w:lang w:val="zh-TW"/>
        </w:rPr>
      </w:pPr>
      <w:r>
        <w:rPr>
          <w:rFonts w:hint="eastAsia" w:ascii="Arial" w:hAnsi="Arial" w:eastAsia="宋体" w:cs="Arial"/>
          <w:b/>
          <w:bCs/>
          <w:color w:val="auto"/>
          <w:sz w:val="24"/>
          <w:szCs w:val="24"/>
          <w:lang w:val="zh-TW"/>
        </w:rPr>
        <w:t>3.</w:t>
      </w:r>
      <w:r>
        <w:rPr>
          <w:rFonts w:ascii="Arial" w:hAnsi="Arial" w:eastAsia="宋体" w:cs="Arial"/>
          <w:b/>
          <w:bCs/>
          <w:color w:val="auto"/>
          <w:sz w:val="24"/>
          <w:szCs w:val="24"/>
          <w:lang w:val="zh-TW"/>
        </w:rPr>
        <w:t>3.1.3 访问量（按时段）</w:t>
      </w:r>
    </w:p>
    <w:p>
      <w:pPr>
        <w:spacing w:line="360" w:lineRule="auto"/>
        <w:jc w:val="left"/>
        <w:rPr>
          <w:rFonts w:ascii="Arial" w:hAnsi="Arial" w:cs="Arial"/>
          <w:sz w:val="24"/>
          <w:szCs w:val="24"/>
          <w:lang w:val="zh-TW"/>
        </w:rPr>
      </w:pPr>
      <w:r>
        <w:rPr>
          <w:rFonts w:ascii="Arial" w:hAnsi="Arial" w:cs="Arial"/>
          <w:sz w:val="24"/>
          <w:szCs w:val="24"/>
        </w:rPr>
        <w:drawing>
          <wp:inline distT="0" distB="0" distL="0" distR="0">
            <wp:extent cx="5212715" cy="2153285"/>
            <wp:effectExtent l="0" t="0" r="26035" b="18415"/>
            <wp:docPr id="1073741855" name="officeArt object"/>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pPr>
        <w:spacing w:line="360" w:lineRule="auto"/>
        <w:jc w:val="center"/>
        <w:rPr>
          <w:rFonts w:ascii="Arial" w:hAnsi="Arial" w:eastAsia="楷体" w:cs="Arial"/>
          <w:b/>
          <w:szCs w:val="21"/>
          <w:lang w:val="zh-TW"/>
        </w:rPr>
      </w:pPr>
      <w:r>
        <w:rPr>
          <w:rFonts w:ascii="Arial" w:hAnsi="Arial" w:eastAsia="楷体" w:cs="Arial"/>
          <w:b/>
          <w:szCs w:val="21"/>
          <w:lang w:val="zh-TW"/>
        </w:rPr>
        <w:t>学生的学习平访问量（按时段）情况图</w:t>
      </w:r>
    </w:p>
    <w:p>
      <w:pPr>
        <w:spacing w:line="360" w:lineRule="auto"/>
        <w:ind w:firstLine="480" w:firstLineChars="200"/>
        <w:jc w:val="left"/>
        <w:rPr>
          <w:rFonts w:ascii="Arial" w:hAnsi="Arial" w:cs="Arial"/>
          <w:i/>
          <w:color w:val="FF0000"/>
          <w:sz w:val="24"/>
          <w:szCs w:val="24"/>
          <w:lang w:val="zh-TW"/>
        </w:rPr>
      </w:pPr>
      <w:r>
        <w:rPr>
          <w:rFonts w:ascii="Arial" w:hAnsi="Arial" w:cs="Arial"/>
          <w:sz w:val="24"/>
          <w:szCs w:val="24"/>
          <w:lang w:val="zh-TW"/>
        </w:rPr>
        <w:t>由图可知，学生的学习平访访问量从每日</w:t>
      </w:r>
      <w:r>
        <w:rPr>
          <w:rFonts w:hint="eastAsia" w:ascii="Arial" w:hAnsi="Arial" w:cs="Arial"/>
          <w:sz w:val="24"/>
          <w:szCs w:val="24"/>
          <w:lang w:val="en-US" w:eastAsia="zh-CN"/>
        </w:rPr>
        <w:t>6</w:t>
      </w:r>
      <w:r>
        <w:rPr>
          <w:rFonts w:ascii="Arial" w:hAnsi="Arial" w:cs="Arial"/>
          <w:sz w:val="24"/>
          <w:szCs w:val="24"/>
          <w:lang w:val="zh-TW"/>
        </w:rPr>
        <w:t>点开始呈现上升趋势。同时，贵校学生倾向于在08-12点这一时段内进行在线课程的学习。由此，我们建议贵校加强08-12点这一时段内的网络管理工作，避免出现因在线人数过多而导致的网速过慢、视频无法加载等情况。</w:t>
      </w:r>
    </w:p>
    <w:p>
      <w:pPr>
        <w:pStyle w:val="4"/>
        <w:rPr>
          <w:rFonts w:ascii="Arial" w:hAnsi="Arial" w:cs="Arial"/>
        </w:rPr>
      </w:pPr>
      <w:bookmarkStart w:id="20" w:name="_Toc30355"/>
      <w:r>
        <w:rPr>
          <w:rFonts w:ascii="Arial" w:hAnsi="Arial" w:cs="Arial"/>
        </w:rPr>
        <w:t>3.</w:t>
      </w:r>
      <w:r>
        <w:rPr>
          <w:rFonts w:ascii="Arial" w:hAnsi="Arial" w:cs="Arial"/>
          <w:lang w:eastAsia="zh-CN"/>
        </w:rPr>
        <w:t>3</w:t>
      </w:r>
      <w:r>
        <w:rPr>
          <w:rFonts w:ascii="Arial" w:hAnsi="Arial" w:cs="Arial"/>
        </w:rPr>
        <w:t>.2 学习讨论情况</w:t>
      </w:r>
      <w:bookmarkEnd w:id="20"/>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3.3.2.1 总体讨论情况</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学生通过在论坛当中与同学进行互动，能够在一定程度上消除网络学习的孤独感，指导教师也能通过讨论区了解学生的学习情况，形成良性互动。</w:t>
      </w:r>
    </w:p>
    <w:p>
      <w:pPr>
        <w:spacing w:line="360" w:lineRule="auto"/>
        <w:ind w:firstLine="480" w:firstLineChars="200"/>
        <w:jc w:val="left"/>
        <w:rPr>
          <w:rFonts w:ascii="Arial" w:hAnsi="Arial" w:cs="Arial"/>
          <w:sz w:val="24"/>
          <w:szCs w:val="24"/>
          <w:lang w:val="zh-TW"/>
        </w:rPr>
      </w:pPr>
      <w:r>
        <w:rPr>
          <w:rFonts w:ascii="Arial" w:hAnsi="Arial" w:cs="Arial"/>
          <w:sz w:val="24"/>
          <w:szCs w:val="24"/>
          <w:lang w:val="zh-TW"/>
        </w:rPr>
        <w:t>贵校学生在2018年春季学期，</w:t>
      </w:r>
      <w:r>
        <w:rPr>
          <w:rFonts w:ascii="楷体" w:hAnsi="楷体" w:eastAsia="楷体" w:cs="Arial"/>
          <w:b/>
          <w:sz w:val="24"/>
          <w:szCs w:val="24"/>
          <w:lang w:val="zh-TW"/>
        </w:rPr>
        <w:t>共在尔雅课程学习中发帖讨论150次，回帖讨论9次</w:t>
      </w:r>
      <w:r>
        <w:rPr>
          <w:rFonts w:ascii="Arial" w:hAnsi="Arial" w:cs="Arial"/>
          <w:sz w:val="24"/>
          <w:szCs w:val="24"/>
          <w:lang w:val="zh-TW"/>
        </w:rPr>
        <w:t>。根据讨论数据显示，贵校学生的在线讨论主要集中在《文化遗产概览》、《大学生安全教育（新版）》、《大学生公民素质教育》等几门课程上。</w:t>
      </w:r>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3.3.2.2 各专业（院系）讨论情况</w:t>
      </w:r>
    </w:p>
    <w:tbl>
      <w:tblPr>
        <w:tblStyle w:val="22"/>
        <w:tblW w:w="5997" w:type="dxa"/>
        <w:jc w:val="center"/>
        <w:tblInd w:w="0" w:type="dxa"/>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
      <w:tblGrid>
        <w:gridCol w:w="1641"/>
        <w:gridCol w:w="2178"/>
        <w:gridCol w:w="2178"/>
      </w:tblGrid>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24" w:hRule="atLeast"/>
          <w:jc w:val="center"/>
        </w:trPr>
        <w:tc>
          <w:tcPr>
            <w:tcW w:w="1641" w:type="dxa"/>
            <w:shd w:val="clear" w:color="auto" w:fill="873624" w:themeFill="accent1"/>
          </w:tcPr>
          <w:p>
            <w:pPr>
              <w:widowControl/>
              <w:spacing w:before="0" w:after="0" w:line="360" w:lineRule="auto"/>
              <w:jc w:val="center"/>
              <w:rPr>
                <w:rFonts w:ascii="Arial" w:hAnsi="Arial" w:eastAsia="黑体" w:cs="Arial"/>
                <w:b/>
                <w:bCs/>
                <w:color w:val="FFFFFF" w:themeColor="background1"/>
                <w:szCs w:val="21"/>
                <w14:textFill>
                  <w14:solidFill>
                    <w14:schemeClr w14:val="bg1"/>
                  </w14:solidFill>
                </w14:textFill>
              </w:rPr>
            </w:pPr>
            <w:r>
              <w:rPr>
                <w:rFonts w:ascii="Arial" w:hAnsi="Arial" w:eastAsia="黑体" w:cs="Arial"/>
                <w:b/>
                <w:bCs/>
                <w:color w:val="FFFFFF" w:themeColor="background1"/>
                <w:szCs w:val="21"/>
                <w14:textFill>
                  <w14:solidFill>
                    <w14:schemeClr w14:val="bg1"/>
                  </w14:solidFill>
                </w14:textFill>
              </w:rPr>
              <w:t>院系名称</w:t>
            </w:r>
          </w:p>
        </w:tc>
        <w:tc>
          <w:tcPr>
            <w:tcW w:w="2178" w:type="dxa"/>
            <w:shd w:val="clear" w:color="auto" w:fill="873624" w:themeFill="accent1"/>
          </w:tcPr>
          <w:p>
            <w:pPr>
              <w:widowControl/>
              <w:spacing w:before="0" w:after="0" w:line="360" w:lineRule="auto"/>
              <w:jc w:val="center"/>
              <w:rPr>
                <w:rFonts w:ascii="Arial" w:hAnsi="Arial" w:eastAsia="黑体" w:cs="Arial"/>
                <w:b/>
                <w:bCs/>
                <w:color w:val="FFFFFF" w:themeColor="background1"/>
                <w:szCs w:val="21"/>
                <w14:textFill>
                  <w14:solidFill>
                    <w14:schemeClr w14:val="bg1"/>
                  </w14:solidFill>
                </w14:textFill>
              </w:rPr>
            </w:pPr>
            <w:r>
              <w:rPr>
                <w:rFonts w:ascii="Arial" w:hAnsi="Arial" w:eastAsia="黑体" w:cs="Arial"/>
                <w:b/>
                <w:bCs/>
                <w:color w:val="FFFFFF" w:themeColor="background1"/>
                <w:szCs w:val="21"/>
                <w14:textFill>
                  <w14:solidFill>
                    <w14:schemeClr w14:val="bg1"/>
                  </w14:solidFill>
                </w14:textFill>
              </w:rPr>
              <w:t>发帖数</w:t>
            </w:r>
          </w:p>
        </w:tc>
        <w:tc>
          <w:tcPr>
            <w:tcW w:w="2178" w:type="dxa"/>
            <w:shd w:val="clear" w:color="auto" w:fill="873624" w:themeFill="accent1"/>
          </w:tcPr>
          <w:p>
            <w:pPr>
              <w:widowControl/>
              <w:spacing w:before="0" w:after="0" w:line="360" w:lineRule="auto"/>
              <w:jc w:val="center"/>
              <w:rPr>
                <w:rFonts w:ascii="Arial" w:hAnsi="Arial" w:eastAsia="黑体" w:cs="Arial"/>
                <w:b/>
                <w:bCs/>
                <w:color w:val="FFFFFF" w:themeColor="background1"/>
                <w:szCs w:val="21"/>
                <w14:textFill>
                  <w14:solidFill>
                    <w14:schemeClr w14:val="bg1"/>
                  </w14:solidFill>
                </w14:textFill>
              </w:rPr>
            </w:pPr>
            <w:r>
              <w:rPr>
                <w:rFonts w:ascii="Arial" w:hAnsi="Arial" w:eastAsia="黑体" w:cs="Arial"/>
                <w:b/>
                <w:bCs/>
                <w:color w:val="FFFFFF" w:themeColor="background1"/>
                <w:szCs w:val="21"/>
                <w14:textFill>
                  <w14:solidFill>
                    <w14:schemeClr w14:val="bg1"/>
                  </w14:solidFill>
                </w14:textFill>
              </w:rPr>
              <w:t>回帖数</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物流学院</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103</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3</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公路学院</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36</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0</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汽车学院</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7</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5</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轨道交通学院</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2</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1</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交通信息工程系</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1</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0</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285" w:hRule="atLeast"/>
          <w:jc w:val="center"/>
        </w:trPr>
        <w:tc>
          <w:tcPr>
            <w:tcW w:w="1641" w:type="dxa"/>
            <w:tcBorders>
              <w:top w:val="nil"/>
              <w:left w:val="nil"/>
              <w:bottom w:val="nil"/>
            </w:tcBorders>
            <w:shd w:val="clear" w:color="auto" w:fill="DAA454" w:themeFill="text2" w:themeFillTint="99"/>
          </w:tcPr>
          <w:p>
            <w:pPr>
              <w:spacing w:line="360" w:lineRule="auto"/>
              <w:jc w:val="center"/>
              <w:rPr>
                <w:rFonts w:ascii="Arial" w:hAnsi="Arial" w:cs="Arial"/>
                <w:b/>
                <w:bCs/>
                <w:szCs w:val="21"/>
              </w:rPr>
            </w:pPr>
            <w:r>
              <w:rPr>
                <w:rFonts w:ascii="Arial" w:hAnsi="Arial" w:cs="Arial"/>
                <w:b/>
                <w:bCs/>
                <w:szCs w:val="21"/>
              </w:rPr>
              <w:t>建筑工程系</w:t>
            </w:r>
          </w:p>
        </w:tc>
        <w:tc>
          <w:tcPr>
            <w:tcW w:w="2178" w:type="dxa"/>
            <w:tcBorders>
              <w:top w:val="nil"/>
              <w:bottom w:val="nil"/>
            </w:tcBorders>
          </w:tcPr>
          <w:p>
            <w:pPr>
              <w:spacing w:line="360" w:lineRule="auto"/>
              <w:jc w:val="center"/>
              <w:rPr>
                <w:rFonts w:ascii="Arial" w:hAnsi="Arial" w:cs="Arial"/>
                <w:szCs w:val="21"/>
              </w:rPr>
            </w:pPr>
            <w:r>
              <w:rPr>
                <w:rFonts w:ascii="Arial" w:hAnsi="Arial" w:cs="Arial"/>
                <w:szCs w:val="21"/>
              </w:rPr>
              <w:t>1</w:t>
            </w:r>
          </w:p>
        </w:tc>
        <w:tc>
          <w:tcPr>
            <w:tcW w:w="2178" w:type="dxa"/>
            <w:tcBorders>
              <w:top w:val="nil"/>
              <w:bottom w:val="nil"/>
              <w:right w:val="nil"/>
            </w:tcBorders>
          </w:tcPr>
          <w:p>
            <w:pPr>
              <w:spacing w:line="360" w:lineRule="auto"/>
              <w:jc w:val="center"/>
              <w:rPr>
                <w:rFonts w:ascii="Arial" w:hAnsi="Arial" w:cs="Arial"/>
                <w:szCs w:val="21"/>
              </w:rPr>
            </w:pPr>
            <w:r>
              <w:rPr>
                <w:rFonts w:ascii="Arial" w:hAnsi="Arial" w:cs="Arial"/>
                <w:szCs w:val="21"/>
              </w:rPr>
              <w:t>0</w:t>
            </w:r>
          </w:p>
        </w:tc>
      </w:tr>
      <w:tr>
        <w:tblPrEx>
          <w:tblBorders>
            <w:top w:val="single" w:color="4B1004" w:themeColor="accent5" w:themeShade="80" w:sz="4" w:space="0"/>
            <w:left w:val="single" w:color="4B1004" w:themeColor="accent5" w:themeShade="80" w:sz="4" w:space="0"/>
            <w:bottom w:val="single" w:color="4B1004" w:themeColor="accent5" w:themeShade="80" w:sz="4" w:space="0"/>
            <w:right w:val="single" w:color="4B1004" w:themeColor="accent5" w:themeShade="80" w:sz="4" w:space="0"/>
            <w:insideH w:val="single" w:color="4B1004" w:themeColor="accent5" w:themeShade="80" w:sz="4" w:space="0"/>
            <w:insideV w:val="single" w:color="4B1004" w:themeColor="accent5" w:themeShade="80" w:sz="4" w:space="0"/>
          </w:tblBorders>
          <w:tblLayout w:type="fixed"/>
          <w:tblCellMar>
            <w:top w:w="0" w:type="dxa"/>
            <w:left w:w="108" w:type="dxa"/>
            <w:bottom w:w="0" w:type="dxa"/>
            <w:right w:w="108" w:type="dxa"/>
          </w:tblCellMar>
        </w:tblPrEx>
        <w:trPr>
          <w:trHeight w:val="64" w:hRule="atLeast"/>
          <w:jc w:val="center"/>
        </w:trPr>
        <w:tc>
          <w:tcPr>
            <w:tcW w:w="1641" w:type="dxa"/>
            <w:shd w:val="clear" w:color="auto" w:fill="A2641F" w:themeFill="accent2" w:themeFillShade="BF"/>
          </w:tcPr>
          <w:p>
            <w:pPr>
              <w:spacing w:line="360" w:lineRule="auto"/>
              <w:jc w:val="center"/>
              <w:rPr>
                <w:rFonts w:ascii="Arial" w:hAnsi="Arial" w:cs="Arial"/>
                <w:b/>
                <w:bCs/>
                <w:szCs w:val="21"/>
              </w:rPr>
            </w:pPr>
            <w:r>
              <w:rPr>
                <w:rFonts w:ascii="Arial" w:hAnsi="Arial" w:cs="Arial"/>
                <w:b/>
                <w:bCs/>
                <w:szCs w:val="21"/>
              </w:rPr>
              <w:t>合计</w:t>
            </w:r>
          </w:p>
        </w:tc>
        <w:tc>
          <w:tcPr>
            <w:tcW w:w="2178" w:type="dxa"/>
            <w:shd w:val="clear" w:color="auto" w:fill="A2641F" w:themeFill="accent2" w:themeFillShade="BF"/>
          </w:tcPr>
          <w:p>
            <w:pPr>
              <w:spacing w:line="360" w:lineRule="auto"/>
              <w:jc w:val="center"/>
              <w:rPr>
                <w:rFonts w:ascii="Arial" w:hAnsi="Arial" w:cs="Arial"/>
                <w:b/>
                <w:szCs w:val="21"/>
              </w:rPr>
            </w:pPr>
            <w:r>
              <w:rPr>
                <w:rFonts w:ascii="Arial" w:hAnsi="Arial" w:cs="Arial"/>
                <w:b/>
                <w:szCs w:val="21"/>
              </w:rPr>
              <w:t>150</w:t>
            </w:r>
          </w:p>
        </w:tc>
        <w:tc>
          <w:tcPr>
            <w:tcW w:w="2178" w:type="dxa"/>
            <w:shd w:val="clear" w:color="auto" w:fill="A2641F" w:themeFill="accent2" w:themeFillShade="BF"/>
          </w:tcPr>
          <w:p>
            <w:pPr>
              <w:spacing w:line="360" w:lineRule="auto"/>
              <w:jc w:val="center"/>
              <w:rPr>
                <w:rFonts w:ascii="Arial" w:hAnsi="Arial" w:cs="Arial"/>
                <w:b/>
                <w:szCs w:val="21"/>
              </w:rPr>
            </w:pPr>
            <w:r>
              <w:rPr>
                <w:rFonts w:ascii="Arial" w:hAnsi="Arial" w:cs="Arial"/>
                <w:b/>
                <w:szCs w:val="21"/>
              </w:rPr>
              <w:t>9</w:t>
            </w:r>
          </w:p>
        </w:tc>
      </w:tr>
    </w:tbl>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各院系学生讨论情况统计表</w:t>
      </w:r>
    </w:p>
    <w:p>
      <w:pPr>
        <w:spacing w:line="360" w:lineRule="auto"/>
        <w:ind w:firstLine="480" w:firstLineChars="200"/>
        <w:jc w:val="left"/>
        <w:rPr>
          <w:rFonts w:ascii="Arial" w:hAnsi="Arial" w:cs="Arial"/>
          <w:sz w:val="24"/>
          <w:szCs w:val="24"/>
        </w:rPr>
      </w:pPr>
      <w:r>
        <w:rPr>
          <w:rFonts w:ascii="Arial" w:hAnsi="Arial" w:cs="Arial"/>
          <w:sz w:val="24"/>
          <w:szCs w:val="24"/>
          <w:lang w:eastAsia="zh-TW"/>
        </w:rPr>
        <w:t>由上表可知，物流学院学生参与讨论次数最多，总讨论次数为106次。</w:t>
      </w:r>
      <w:r>
        <w:rPr>
          <w:rFonts w:ascii="Arial" w:hAnsi="Arial" w:cs="Arial"/>
          <w:sz w:val="24"/>
          <w:szCs w:val="24"/>
        </w:rPr>
        <w:t>而其他院系的学生参与讨论的热情则较低，建议贵校助教对其他院系学生进行适当引导，鼓励他们参与在线讨论和相关的学习活动。</w:t>
      </w:r>
    </w:p>
    <w:p>
      <w:pPr>
        <w:pStyle w:val="4"/>
        <w:rPr>
          <w:rFonts w:ascii="Arial" w:hAnsi="Arial" w:cs="Arial"/>
          <w:lang w:eastAsia="zh-CN"/>
        </w:rPr>
      </w:pPr>
      <w:bookmarkStart w:id="21" w:name="_Toc19065"/>
      <w:r>
        <w:rPr>
          <w:rFonts w:ascii="Arial" w:hAnsi="Arial" w:cs="Arial"/>
        </w:rPr>
        <w:t>3.</w:t>
      </w:r>
      <w:r>
        <w:rPr>
          <w:rFonts w:ascii="Arial" w:hAnsi="Arial" w:cs="Arial"/>
          <w:lang w:eastAsia="zh-CN"/>
        </w:rPr>
        <w:t>3</w:t>
      </w:r>
      <w:r>
        <w:rPr>
          <w:rFonts w:ascii="Arial" w:hAnsi="Arial" w:cs="Arial"/>
        </w:rPr>
        <w:t>.</w:t>
      </w:r>
      <w:r>
        <w:rPr>
          <w:rFonts w:ascii="Arial" w:hAnsi="Arial" w:cs="Arial"/>
          <w:lang w:eastAsia="zh-CN"/>
        </w:rPr>
        <w:t>3</w:t>
      </w:r>
      <w:r>
        <w:rPr>
          <w:rFonts w:ascii="Arial" w:hAnsi="Arial" w:cs="Arial"/>
        </w:rPr>
        <w:t xml:space="preserve"> </w:t>
      </w:r>
      <w:r>
        <w:rPr>
          <w:rFonts w:ascii="Arial" w:hAnsi="Arial" w:cs="Arial"/>
          <w:lang w:eastAsia="zh-CN"/>
        </w:rPr>
        <w:t>在线课程</w:t>
      </w:r>
      <w:r>
        <w:rPr>
          <w:rFonts w:ascii="Arial" w:hAnsi="Arial" w:cs="Arial"/>
        </w:rPr>
        <w:t>完成</w:t>
      </w:r>
      <w:r>
        <w:rPr>
          <w:rFonts w:ascii="Arial" w:hAnsi="Arial" w:cs="Arial"/>
          <w:lang w:eastAsia="zh-CN"/>
        </w:rPr>
        <w:t>情况</w:t>
      </w:r>
      <w:bookmarkEnd w:id="21"/>
    </w:p>
    <w:p>
      <w:pPr>
        <w:pBdr>
          <w:top w:val="none" w:color="auto" w:sz="0" w:space="0"/>
          <w:left w:val="none" w:color="auto" w:sz="0" w:space="0"/>
          <w:bottom w:val="none" w:color="auto" w:sz="0" w:space="0"/>
          <w:right w:val="none" w:color="auto" w:sz="0" w:space="0"/>
          <w:between w:val="none" w:color="auto" w:sz="0" w:space="0"/>
        </w:pBdr>
        <w:spacing w:line="360" w:lineRule="auto"/>
        <w:ind w:firstLine="420"/>
        <w:jc w:val="left"/>
        <w:rPr>
          <w:rFonts w:ascii="Arial" w:hAnsi="Arial" w:eastAsia="楷体" w:cs="Arial"/>
          <w:color w:val="A36520" w:themeColor="accent2" w:themeShade="BF"/>
          <w:sz w:val="22"/>
          <w:szCs w:val="24"/>
          <w:lang w:val="zh-TW"/>
        </w:rPr>
      </w:pPr>
      <w:r>
        <w:rPr>
          <w:rFonts w:ascii="Arial" w:hAnsi="Arial" w:eastAsia="楷体" w:cs="Arial"/>
          <w:color w:val="A36520" w:themeColor="accent2" w:themeShade="BF"/>
          <w:sz w:val="22"/>
          <w:szCs w:val="24"/>
          <w:lang w:val="zh-TW"/>
        </w:rPr>
        <w:t>【说明：“在线课程完成”是指学生按在线课程学习要求完成相应的任务点】</w:t>
      </w:r>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3.3.3.1 在线课程总体完成率</w:t>
      </w:r>
    </w:p>
    <w:p>
      <w:pPr>
        <w:pBdr>
          <w:top w:val="none" w:color="auto" w:sz="0" w:space="0"/>
          <w:left w:val="none" w:color="auto" w:sz="0" w:space="0"/>
          <w:bottom w:val="none" w:color="auto" w:sz="0" w:space="0"/>
          <w:right w:val="none" w:color="auto" w:sz="0" w:space="0"/>
          <w:between w:val="none" w:color="auto" w:sz="0" w:space="0"/>
        </w:pBdr>
        <w:spacing w:line="360" w:lineRule="auto"/>
        <w:ind w:firstLine="420"/>
        <w:jc w:val="left"/>
        <w:rPr>
          <w:rFonts w:ascii="Arial" w:hAnsi="Arial" w:eastAsia="楷体" w:cs="Arial"/>
          <w:color w:val="A36520" w:themeColor="accent2" w:themeShade="BF"/>
          <w:sz w:val="22"/>
          <w:szCs w:val="24"/>
          <w:lang w:val="zh-TW"/>
        </w:rPr>
      </w:pPr>
      <w:r>
        <w:rPr>
          <w:rFonts w:ascii="Arial" w:hAnsi="Arial" w:eastAsia="楷体" w:cs="Arial"/>
          <w:color w:val="A36520" w:themeColor="accent2" w:themeShade="BF"/>
          <w:sz w:val="22"/>
          <w:szCs w:val="24"/>
          <w:lang w:val="zh-TW"/>
        </w:rPr>
        <w:t>【说明：在线课程完成率=完成在线课程人次/选课人次】</w:t>
      </w:r>
    </w:p>
    <w:p>
      <w:pPr>
        <w:spacing w:line="360" w:lineRule="auto"/>
        <w:ind w:firstLine="480" w:firstLineChars="200"/>
        <w:rPr>
          <w:rFonts w:ascii="Arial" w:hAnsi="Arial" w:cs="Arial"/>
          <w:sz w:val="24"/>
          <w:szCs w:val="24"/>
        </w:rPr>
      </w:pPr>
      <w:r>
        <w:rPr>
          <w:rFonts w:ascii="Arial" w:hAnsi="Arial" w:cs="Arial"/>
          <w:sz w:val="24"/>
          <w:szCs w:val="24"/>
        </w:rPr>
        <w:t>在线课程完成率是检测学生课程学习进度的重要指标。据统计，</w:t>
      </w:r>
      <w:r>
        <w:rPr>
          <w:rFonts w:ascii="Arial" w:hAnsi="Arial" w:eastAsia="楷体" w:cs="Arial"/>
          <w:b/>
          <w:sz w:val="24"/>
          <w:szCs w:val="24"/>
        </w:rPr>
        <w:t>贵校学生的课程综合完成率为91.14%</w:t>
      </w:r>
      <w:r>
        <w:rPr>
          <w:rFonts w:ascii="Arial" w:hAnsi="Arial" w:cs="Arial"/>
          <w:sz w:val="24"/>
          <w:szCs w:val="24"/>
        </w:rPr>
        <w:t>。由此可见贵校学生的学习持续性较强，大部分学生能在规定时间内完成学习任务。</w:t>
      </w:r>
    </w:p>
    <w:p>
      <w:pPr>
        <w:pStyle w:val="42"/>
        <w:spacing w:line="360" w:lineRule="auto"/>
        <w:ind w:left="425" w:firstLine="0"/>
        <w:rPr>
          <w:rFonts w:ascii="Arial" w:hAnsi="Arial" w:eastAsia="宋体" w:cs="Arial"/>
          <w:b/>
          <w:bCs/>
          <w:color w:val="auto"/>
          <w:sz w:val="24"/>
          <w:szCs w:val="24"/>
          <w:lang w:val="zh-TW"/>
        </w:rPr>
      </w:pPr>
      <w:r>
        <w:rPr>
          <w:rFonts w:ascii="Arial" w:hAnsi="Arial" w:eastAsia="宋体" w:cs="Arial"/>
          <w:b/>
          <w:bCs/>
          <w:color w:val="auto"/>
          <w:sz w:val="24"/>
          <w:szCs w:val="24"/>
          <w:lang w:val="zh-TW"/>
        </w:rPr>
        <w:t>3.3.3.2 各学院课程完成率</w:t>
      </w:r>
    </w:p>
    <w:p>
      <w:pPr>
        <w:spacing w:line="360" w:lineRule="auto"/>
        <w:ind w:firstLine="480" w:firstLineChars="200"/>
        <w:rPr>
          <w:rFonts w:ascii="Arial" w:hAnsi="Arial" w:cs="Arial"/>
          <w:sz w:val="24"/>
          <w:szCs w:val="24"/>
        </w:rPr>
      </w:pPr>
      <w:r>
        <w:rPr>
          <w:rFonts w:ascii="Arial" w:hAnsi="Arial" w:cs="Arial"/>
          <w:sz w:val="24"/>
          <w:szCs w:val="24"/>
        </w:rPr>
        <w:t>贵校各学院的平均完成率如下表所示：</w:t>
      </w:r>
    </w:p>
    <w:p>
      <w:pPr>
        <w:spacing w:line="360" w:lineRule="auto"/>
        <w:ind w:firstLine="440" w:firstLineChars="200"/>
        <w:rPr>
          <w:rFonts w:ascii="Arial" w:hAnsi="Arial" w:cs="Arial"/>
          <w:sz w:val="24"/>
          <w:szCs w:val="24"/>
        </w:rPr>
      </w:pPr>
      <w:r>
        <w:rPr>
          <w:rFonts w:ascii="Arial" w:hAnsi="Arial" w:eastAsia="楷体" w:cs="Arial"/>
          <w:color w:val="A36520" w:themeColor="accent2" w:themeShade="BF"/>
          <w:sz w:val="22"/>
          <w:szCs w:val="24"/>
          <w:lang w:val="zh-TW"/>
        </w:rPr>
        <w:t>【说明</w:t>
      </w:r>
      <w:r>
        <w:rPr>
          <w:rFonts w:hint="eastAsia" w:ascii="Arial" w:hAnsi="Arial" w:eastAsia="楷体" w:cs="Arial"/>
          <w:color w:val="A36520" w:themeColor="accent2" w:themeShade="BF"/>
          <w:sz w:val="22"/>
          <w:szCs w:val="24"/>
          <w:lang w:val="zh-TW"/>
        </w:rPr>
        <w:t>：</w:t>
      </w:r>
      <w:r>
        <w:rPr>
          <w:rFonts w:ascii="Arial" w:hAnsi="Arial" w:eastAsia="楷体" w:cs="Arial"/>
          <w:color w:val="A36520" w:themeColor="accent2" w:themeShade="BF"/>
          <w:sz w:val="22"/>
          <w:szCs w:val="24"/>
          <w:lang w:val="zh-TW"/>
        </w:rPr>
        <w:t>最终数据保留到小数点后两位</w:t>
      </w:r>
      <w:r>
        <w:rPr>
          <w:rFonts w:hint="eastAsia" w:ascii="Arial" w:hAnsi="Arial" w:eastAsia="楷体" w:cs="Arial"/>
          <w:color w:val="A36520" w:themeColor="accent2" w:themeShade="BF"/>
          <w:sz w:val="22"/>
          <w:szCs w:val="24"/>
          <w:lang w:val="zh-TW"/>
        </w:rPr>
        <w:t>】</w:t>
      </w:r>
    </w:p>
    <w:p>
      <w:pPr>
        <w:spacing w:line="360" w:lineRule="auto"/>
        <w:rPr>
          <w:rFonts w:ascii="Arial" w:hAnsi="Arial" w:cs="Arial"/>
          <w:sz w:val="24"/>
          <w:szCs w:val="24"/>
        </w:rPr>
      </w:pPr>
      <w:r>
        <w:rPr>
          <w:rFonts w:ascii="Arial" w:hAnsi="Arial" w:cs="Arial"/>
          <w:sz w:val="24"/>
          <w:szCs w:val="24"/>
        </w:rPr>
        <w:drawing>
          <wp:inline distT="0" distB="0" distL="0" distR="0">
            <wp:extent cx="5257800" cy="3076575"/>
            <wp:effectExtent l="0" t="0" r="1905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spacing w:line="360" w:lineRule="auto"/>
        <w:ind w:firstLine="422" w:firstLineChars="200"/>
        <w:jc w:val="center"/>
        <w:rPr>
          <w:rFonts w:ascii="Arial" w:hAnsi="Arial" w:eastAsia="楷体" w:cs="Arial"/>
          <w:b/>
          <w:szCs w:val="21"/>
          <w:lang w:val="zh-TW"/>
        </w:rPr>
      </w:pPr>
      <w:r>
        <w:rPr>
          <w:rFonts w:ascii="Arial" w:hAnsi="Arial" w:eastAsia="楷体" w:cs="Arial"/>
          <w:b/>
          <w:szCs w:val="21"/>
          <w:lang w:val="zh-TW"/>
        </w:rPr>
        <w:t>各学院课程完成率情况图</w:t>
      </w:r>
    </w:p>
    <w:p>
      <w:pPr>
        <w:spacing w:line="360" w:lineRule="auto"/>
        <w:ind w:firstLine="480" w:firstLineChars="200"/>
        <w:rPr>
          <w:rFonts w:ascii="Arial" w:hAnsi="Arial" w:cs="Arial"/>
          <w:sz w:val="24"/>
          <w:szCs w:val="24"/>
        </w:rPr>
      </w:pPr>
      <w:r>
        <w:rPr>
          <w:rFonts w:ascii="Arial" w:hAnsi="Arial" w:cs="Arial"/>
          <w:sz w:val="24"/>
          <w:szCs w:val="24"/>
        </w:rPr>
        <w:t>由上表可以看出，贵校各学院学生的课程完成情况整体较好。</w:t>
      </w:r>
      <w:r>
        <w:rPr>
          <w:rFonts w:ascii="Arial" w:hAnsi="Arial" w:cs="Arial"/>
          <w:sz w:val="24"/>
          <w:szCs w:val="24"/>
          <w:highlight w:val="none"/>
        </w:rPr>
        <w:t>其中，物流学院学生们的学习持续性较强，其他院系的课程完成率稍显落后</w:t>
      </w:r>
      <w:r>
        <w:rPr>
          <w:rFonts w:ascii="Arial" w:hAnsi="Arial" w:cs="Arial"/>
          <w:sz w:val="24"/>
          <w:szCs w:val="24"/>
        </w:rPr>
        <w:t>。建议贵校加强对落后学院的通知力度，并对学习进度进行实时监管。</w:t>
      </w:r>
    </w:p>
    <w:p>
      <w:pPr>
        <w:widowControl/>
        <w:spacing w:line="360" w:lineRule="auto"/>
        <w:jc w:val="left"/>
        <w:rPr>
          <w:rFonts w:ascii="Arial" w:hAnsi="Arial" w:cs="Arial"/>
          <w:b/>
          <w:sz w:val="24"/>
          <w:szCs w:val="24"/>
        </w:rPr>
      </w:pPr>
      <w:r>
        <w:rPr>
          <w:rFonts w:ascii="Arial" w:hAnsi="Arial" w:cs="Arial"/>
          <w:b/>
          <w:sz w:val="24"/>
          <w:szCs w:val="24"/>
        </w:rPr>
        <mc:AlternateContent>
          <mc:Choice Requires="wps">
            <w:drawing>
              <wp:anchor distT="0" distB="0" distL="114300" distR="114300" simplePos="0" relativeHeight="251670528" behindDoc="0" locked="0" layoutInCell="1" allowOverlap="1">
                <wp:simplePos x="0" y="0"/>
                <wp:positionH relativeFrom="column">
                  <wp:posOffset>-22860</wp:posOffset>
                </wp:positionH>
                <wp:positionV relativeFrom="paragraph">
                  <wp:posOffset>2885440</wp:posOffset>
                </wp:positionV>
                <wp:extent cx="5088255" cy="2043430"/>
                <wp:effectExtent l="0" t="0" r="0" b="0"/>
                <wp:wrapNone/>
                <wp:docPr id="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088255" cy="2043430"/>
                        </a:xfrm>
                        <a:prstGeom prst="rect">
                          <a:avLst/>
                        </a:prstGeom>
                        <a:noFill/>
                        <a:ln>
                          <a:noFill/>
                        </a:ln>
                      </wps:spPr>
                      <wps:txbx>
                        <w:txbxContent>
                          <w:p>
                            <w:pPr>
                              <w:spacing w:line="360" w:lineRule="auto"/>
                              <w:ind w:firstLine="1044" w:firstLineChars="200"/>
                              <w:jc w:val="left"/>
                              <w:rPr>
                                <w:color w:val="65291B" w:themeColor="accent1" w:themeShade="BF"/>
                                <w:lang w:eastAsia="zh-TW"/>
                              </w:rPr>
                            </w:pPr>
                            <w:r>
                              <w:rPr>
                                <w:rFonts w:hint="eastAsia" w:eastAsia="楷体"/>
                                <w:b/>
                                <w:color w:val="65291B" w:themeColor="accent1" w:themeShade="BF"/>
                                <w:sz w:val="52"/>
                                <w:szCs w:val="52"/>
                                <w:lang w:val="zh-TW"/>
                              </w:rPr>
                              <w:t>感谢您选择超星尔雅。超星尔雅会在今后坚持为您提供更优质、更完善的服务。</w:t>
                            </w: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1.8pt;margin-top:227.2pt;height:160.9pt;width:400.65pt;z-index:251670528;mso-width-relative:page;mso-height-relative:page;" filled="f" stroked="f" coordsize="21600,21600" o:gfxdata="UEsDBAoAAAAAAIdO4kAAAAAAAAAAAAAAAAAEAAAAZHJzL1BLAwQUAAAACACHTuJA4nTLlNgAAAAK&#10;AQAADwAAAGRycy9kb3ducmV2LnhtbE2PwU7DMAyG70i8Q2Qkbluy0bWsNN0BxBXE2JC4ZY3XVjRO&#10;1WRreXu807jZ8qff319sJteJMw6h9aRhMVcgkCpvW6o17D5fZ48gQjRkTecJNfxigE15e1OY3PqR&#10;PvC8jbXgEAq50dDE2OdShqpBZ8Lc90h8O/rBmcjrUEs7mJHDXSeXSqXSmZb4Q2N6fG6w+tmenIb9&#10;2/H7K1Hv9Ytb9aOflCS3llrf3y3UE4iIU7zCcNFndSjZ6eBPZIPoNMweUiY1JKskAcFAts4yEAce&#10;snQJsizk/wrlH1BLAwQUAAAACACHTuJAoCIal/0BAADJAwAADgAAAGRycy9lMm9Eb2MueG1srVPB&#10;jtMwEL0j8Q+W7zRptl1K1HS17GoR0gIrLXyA4ziNReIxY7dJ+QD4A05cuO939TsYO91S4Ia4WLZn&#10;/ObNm+flxdC1bKvQaTAFn05SzpSRUGmzLviH9zfPFpw5L0wlWjCq4Dvl+MXq6ZNlb3OVQQNtpZAR&#10;iHF5bwveeG/zJHGyUZ1wE7DKULAG7ISnI66TCkVP6F2bZGl6nvSAlUWQyjm6vR6DfBXx61pJ/66u&#10;nfKsLThx83HFuJZhTVZLka9R2EbLAw3xDyw6oQ0VPUJdCy/YBvVfUJ2WCA5qP5HQJVDXWqrYA3Uz&#10;Tf/o5r4RVsVeSBxnjzK5/wcr327vkOmKZnfOmREdzWj/7ev++8P+xxeWBX1663JKu7eU6IeXMFBu&#10;7NXZW5AfHTNw1QizVpeI0DdKVMRvGl4mJ09HHBdAyv4NVFRHbDxEoKHGLohHcjBCpzntjrNRg2eS&#10;LufpYpHN55xJimXp7Gx2FqeXiPzxuUXnXynoWNgUHGn4EV5sb50PdET+mBKqGbjRbRsN0JrfLigx&#10;3ET6gfHI3Q/lcJCjhGpHjSCMfiL/06YB/MxZT14quPu0Eag4a18bEuPFdDYL5ouH2fx5Rgc8jZSn&#10;EWEkQRXcczZur/xo2I1FvW6o0ii/gUsSsNaxtaD0yOrAm/wSOz54Oxjy9Byzfv3A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idMuU2AAAAAoBAAAPAAAAAAAAAAEAIAAAACIAAABkcnMvZG93bnJl&#10;di54bWxQSwECFAAUAAAACACHTuJAoCIal/0BAADJAwAADgAAAAAAAAABACAAAAAnAQAAZHJzL2Uy&#10;b0RvYy54bWxQSwUGAAAAAAYABgBZAQAAlgUAAAAA&#10;">
                <v:fill on="f" focussize="0,0"/>
                <v:stroke on="f"/>
                <v:imagedata o:title=""/>
                <o:lock v:ext="edit" aspectratio="f"/>
                <v:textbox>
                  <w:txbxContent>
                    <w:p>
                      <w:pPr>
                        <w:spacing w:line="360" w:lineRule="auto"/>
                        <w:ind w:firstLine="1044" w:firstLineChars="200"/>
                        <w:jc w:val="left"/>
                        <w:rPr>
                          <w:color w:val="65291B" w:themeColor="accent1" w:themeShade="BF"/>
                          <w:lang w:eastAsia="zh-TW"/>
                        </w:rPr>
                      </w:pPr>
                      <w:r>
                        <w:rPr>
                          <w:rFonts w:hint="eastAsia" w:eastAsia="楷体"/>
                          <w:b/>
                          <w:color w:val="65291B" w:themeColor="accent1" w:themeShade="BF"/>
                          <w:sz w:val="52"/>
                          <w:szCs w:val="52"/>
                          <w:lang w:val="zh-TW"/>
                        </w:rPr>
                        <w:t>感谢您选择超星尔雅。超星尔雅会在今后坚持为您提供更优质、更完善的服务。</w:t>
                      </w:r>
                    </w:p>
                  </w:txbxContent>
                </v:textbox>
              </v:shape>
            </w:pict>
          </mc:Fallback>
        </mc:AlternateContent>
      </w:r>
      <w:r>
        <w:rPr>
          <w:rFonts w:ascii="Arial" w:hAnsi="Arial" w:cs="Arial"/>
          <w:b/>
          <w:sz w:val="24"/>
          <w:szCs w:val="24"/>
        </w:rPr>
        <w:br w:type="page"/>
      </w:r>
    </w:p>
    <w:p>
      <w:pPr>
        <w:pStyle w:val="2"/>
        <w:numPr>
          <w:ilvl w:val="0"/>
          <w:numId w:val="0"/>
        </w:numPr>
        <w:ind w:left="420"/>
        <w:jc w:val="both"/>
        <w:rPr>
          <w:rFonts w:ascii="Arial" w:hAnsi="Arial" w:cs="Arial"/>
        </w:rPr>
      </w:pPr>
      <w:bookmarkStart w:id="22" w:name="_Toc23880"/>
      <w:r>
        <w:rPr>
          <w:rFonts w:ascii="Arial" w:hAnsi="Arial" w:cs="Arial"/>
        </w:rPr>
        <w:t>附录</w:t>
      </w:r>
      <w:bookmarkEnd w:id="22"/>
    </w:p>
    <w:p>
      <w:pPr>
        <w:pStyle w:val="3"/>
        <w:rPr>
          <w:rFonts w:ascii="Arial" w:hAnsi="Arial" w:cs="Arial"/>
        </w:rPr>
      </w:pPr>
      <w:bookmarkStart w:id="23" w:name="_Toc17032"/>
      <w:r>
        <w:rPr>
          <w:rFonts w:ascii="Arial" w:hAnsi="Arial" w:cs="Arial"/>
        </w:rPr>
        <w:t>附录1 学校选课清单</w:t>
      </w:r>
      <w:bookmarkEnd w:id="23"/>
    </w:p>
    <w:tbl>
      <w:tblPr>
        <w:tblStyle w:val="21"/>
        <w:tblW w:w="8698" w:type="dxa"/>
        <w:tblInd w:w="-17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98"/>
        <w:gridCol w:w="1769"/>
        <w:gridCol w:w="1298"/>
        <w:gridCol w:w="1737"/>
        <w:gridCol w:w="1298"/>
        <w:gridCol w:w="129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13" w:hRule="atLeast"/>
        </w:trPr>
        <w:tc>
          <w:tcPr>
            <w:tcW w:w="1298"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序号</w:t>
            </w:r>
          </w:p>
        </w:tc>
        <w:tc>
          <w:tcPr>
            <w:tcW w:w="1769"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课程名称</w:t>
            </w:r>
          </w:p>
        </w:tc>
        <w:tc>
          <w:tcPr>
            <w:tcW w:w="1298"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授课教师</w:t>
            </w:r>
          </w:p>
        </w:tc>
        <w:tc>
          <w:tcPr>
            <w:tcW w:w="1737"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主讲人单位</w:t>
            </w:r>
          </w:p>
        </w:tc>
        <w:tc>
          <w:tcPr>
            <w:tcW w:w="1298"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选课人次</w:t>
            </w:r>
          </w:p>
        </w:tc>
        <w:tc>
          <w:tcPr>
            <w:tcW w:w="1298" w:type="dxa"/>
            <w:shd w:val="clear" w:color="auto" w:fill="65281A" w:themeFill="accent1" w:themeFillShade="BF"/>
            <w:vAlign w:val="center"/>
          </w:tcPr>
          <w:p>
            <w:pPr>
              <w:spacing w:line="360" w:lineRule="auto"/>
              <w:jc w:val="center"/>
              <w:rPr>
                <w:rFonts w:ascii="Arial" w:hAnsi="Arial" w:eastAsia="黑体" w:cs="Arial"/>
                <w:b/>
                <w:szCs w:val="21"/>
              </w:rPr>
            </w:pPr>
            <w:r>
              <w:rPr>
                <w:rFonts w:ascii="Arial" w:hAnsi="Arial" w:eastAsia="黑体" w:cs="Arial"/>
                <w:b/>
                <w:szCs w:val="21"/>
              </w:rPr>
              <w:t>学时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w:t>
            </w:r>
          </w:p>
        </w:tc>
        <w:tc>
          <w:tcPr>
            <w:tcW w:w="1769" w:type="dxa"/>
            <w:vAlign w:val="center"/>
          </w:tcPr>
          <w:p>
            <w:pPr>
              <w:spacing w:line="240" w:lineRule="auto"/>
              <w:jc w:val="center"/>
              <w:rPr>
                <w:rFonts w:ascii="Arial" w:hAnsi="Arial" w:cs="Arial"/>
                <w:szCs w:val="21"/>
              </w:rPr>
            </w:pPr>
            <w:r>
              <w:rPr>
                <w:rFonts w:ascii="Arial" w:hAnsi="Arial" w:cs="Arial"/>
                <w:szCs w:val="21"/>
              </w:rPr>
              <w:t>《孙子兵法》与执政艺术</w:t>
            </w:r>
          </w:p>
        </w:tc>
        <w:tc>
          <w:tcPr>
            <w:tcW w:w="1298" w:type="dxa"/>
            <w:vAlign w:val="center"/>
          </w:tcPr>
          <w:p>
            <w:pPr>
              <w:spacing w:line="240" w:lineRule="auto"/>
              <w:jc w:val="center"/>
              <w:rPr>
                <w:rFonts w:ascii="Arial" w:hAnsi="Arial" w:cs="Arial"/>
                <w:szCs w:val="21"/>
              </w:rPr>
            </w:pPr>
            <w:r>
              <w:rPr>
                <w:rFonts w:ascii="Arial" w:hAnsi="Arial" w:cs="Arial"/>
                <w:szCs w:val="21"/>
              </w:rPr>
              <w:t>陈昆福</w:t>
            </w:r>
          </w:p>
        </w:tc>
        <w:tc>
          <w:tcPr>
            <w:tcW w:w="1737" w:type="dxa"/>
            <w:vAlign w:val="center"/>
          </w:tcPr>
          <w:p>
            <w:pPr>
              <w:spacing w:line="240" w:lineRule="auto"/>
              <w:jc w:val="center"/>
              <w:rPr>
                <w:rFonts w:ascii="Arial" w:hAnsi="Arial" w:cs="Arial"/>
                <w:szCs w:val="21"/>
              </w:rPr>
            </w:pPr>
            <w:r>
              <w:rPr>
                <w:rFonts w:ascii="Arial" w:hAnsi="Arial" w:cs="Arial"/>
                <w:szCs w:val="21"/>
              </w:rPr>
              <w:t>浙江大学</w:t>
            </w:r>
          </w:p>
        </w:tc>
        <w:tc>
          <w:tcPr>
            <w:tcW w:w="1298" w:type="dxa"/>
            <w:vAlign w:val="center"/>
          </w:tcPr>
          <w:p>
            <w:pPr>
              <w:spacing w:line="240" w:lineRule="auto"/>
              <w:jc w:val="center"/>
              <w:rPr>
                <w:rFonts w:ascii="Arial" w:hAnsi="Arial" w:cs="Arial"/>
                <w:szCs w:val="21"/>
              </w:rPr>
            </w:pPr>
            <w:r>
              <w:rPr>
                <w:rFonts w:ascii="Arial" w:hAnsi="Arial" w:cs="Arial"/>
                <w:szCs w:val="21"/>
              </w:rPr>
              <w:t>969</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w:t>
            </w:r>
          </w:p>
        </w:tc>
        <w:tc>
          <w:tcPr>
            <w:tcW w:w="1769" w:type="dxa"/>
            <w:vAlign w:val="center"/>
          </w:tcPr>
          <w:p>
            <w:pPr>
              <w:spacing w:line="240" w:lineRule="auto"/>
              <w:jc w:val="center"/>
              <w:rPr>
                <w:rFonts w:ascii="Arial" w:hAnsi="Arial" w:cs="Arial"/>
                <w:szCs w:val="21"/>
              </w:rPr>
            </w:pPr>
            <w:r>
              <w:rPr>
                <w:rFonts w:ascii="Arial" w:hAnsi="Arial" w:cs="Arial"/>
                <w:szCs w:val="21"/>
              </w:rPr>
              <w:t>中华诗词之美</w:t>
            </w:r>
          </w:p>
        </w:tc>
        <w:tc>
          <w:tcPr>
            <w:tcW w:w="1298" w:type="dxa"/>
            <w:vAlign w:val="center"/>
          </w:tcPr>
          <w:p>
            <w:pPr>
              <w:spacing w:line="240" w:lineRule="auto"/>
              <w:jc w:val="center"/>
              <w:rPr>
                <w:rFonts w:ascii="Arial" w:hAnsi="Arial" w:cs="Arial"/>
                <w:szCs w:val="21"/>
              </w:rPr>
            </w:pPr>
            <w:r>
              <w:rPr>
                <w:rFonts w:ascii="Arial" w:hAnsi="Arial" w:cs="Arial"/>
                <w:szCs w:val="21"/>
              </w:rPr>
              <w:t>叶嘉莹</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189</w:t>
            </w:r>
          </w:p>
        </w:tc>
        <w:tc>
          <w:tcPr>
            <w:tcW w:w="1298" w:type="dxa"/>
            <w:vAlign w:val="center"/>
          </w:tcPr>
          <w:p>
            <w:pPr>
              <w:spacing w:line="240" w:lineRule="auto"/>
              <w:jc w:val="center"/>
              <w:rPr>
                <w:rFonts w:ascii="Arial" w:hAnsi="Arial" w:cs="Arial"/>
                <w:szCs w:val="21"/>
              </w:rPr>
            </w:pPr>
            <w:r>
              <w:rPr>
                <w:rFonts w:ascii="Arial" w:hAnsi="Arial" w:cs="Arial"/>
                <w:szCs w:val="21"/>
              </w:rPr>
              <w:t>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w:t>
            </w:r>
          </w:p>
        </w:tc>
        <w:tc>
          <w:tcPr>
            <w:tcW w:w="1769" w:type="dxa"/>
            <w:vAlign w:val="center"/>
          </w:tcPr>
          <w:p>
            <w:pPr>
              <w:spacing w:line="240" w:lineRule="auto"/>
              <w:jc w:val="center"/>
              <w:rPr>
                <w:rFonts w:ascii="Arial" w:hAnsi="Arial" w:cs="Arial"/>
                <w:szCs w:val="21"/>
              </w:rPr>
            </w:pPr>
            <w:r>
              <w:rPr>
                <w:rFonts w:ascii="Arial" w:hAnsi="Arial" w:cs="Arial"/>
                <w:szCs w:val="21"/>
              </w:rPr>
              <w:t>中国书法史</w:t>
            </w:r>
          </w:p>
        </w:tc>
        <w:tc>
          <w:tcPr>
            <w:tcW w:w="1298" w:type="dxa"/>
            <w:vAlign w:val="center"/>
          </w:tcPr>
          <w:p>
            <w:pPr>
              <w:spacing w:line="240" w:lineRule="auto"/>
              <w:jc w:val="center"/>
              <w:rPr>
                <w:rFonts w:ascii="Arial" w:hAnsi="Arial" w:cs="Arial"/>
                <w:szCs w:val="21"/>
              </w:rPr>
            </w:pPr>
            <w:r>
              <w:rPr>
                <w:rFonts w:ascii="Arial" w:hAnsi="Arial" w:cs="Arial"/>
                <w:szCs w:val="21"/>
              </w:rPr>
              <w:t>朱彦民</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298" w:type="dxa"/>
            <w:vAlign w:val="center"/>
          </w:tcPr>
          <w:p>
            <w:pPr>
              <w:spacing w:line="240" w:lineRule="auto"/>
              <w:jc w:val="center"/>
              <w:rPr>
                <w:rFonts w:ascii="Arial" w:hAnsi="Arial" w:cs="Arial"/>
                <w:szCs w:val="21"/>
              </w:rPr>
            </w:pPr>
            <w:r>
              <w:rPr>
                <w:rFonts w:ascii="Arial" w:hAnsi="Arial" w:cs="Arial"/>
                <w:szCs w:val="21"/>
              </w:rPr>
              <w:t>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w:t>
            </w:r>
          </w:p>
        </w:tc>
        <w:tc>
          <w:tcPr>
            <w:tcW w:w="1769" w:type="dxa"/>
            <w:vAlign w:val="center"/>
          </w:tcPr>
          <w:p>
            <w:pPr>
              <w:spacing w:line="240" w:lineRule="auto"/>
              <w:jc w:val="center"/>
              <w:rPr>
                <w:rFonts w:ascii="Arial" w:hAnsi="Arial" w:cs="Arial"/>
                <w:szCs w:val="21"/>
              </w:rPr>
            </w:pPr>
            <w:r>
              <w:rPr>
                <w:rFonts w:ascii="Arial" w:hAnsi="Arial" w:cs="Arial"/>
                <w:szCs w:val="21"/>
              </w:rPr>
              <w:t>中国古代史</w:t>
            </w:r>
          </w:p>
        </w:tc>
        <w:tc>
          <w:tcPr>
            <w:tcW w:w="1298" w:type="dxa"/>
            <w:vAlign w:val="center"/>
          </w:tcPr>
          <w:p>
            <w:pPr>
              <w:spacing w:line="240" w:lineRule="auto"/>
              <w:jc w:val="center"/>
              <w:rPr>
                <w:rFonts w:ascii="Arial" w:hAnsi="Arial" w:cs="Arial"/>
                <w:szCs w:val="21"/>
              </w:rPr>
            </w:pPr>
            <w:r>
              <w:rPr>
                <w:rFonts w:ascii="Arial" w:hAnsi="Arial" w:cs="Arial"/>
                <w:szCs w:val="21"/>
              </w:rPr>
              <w:t>李鸿宾</w:t>
            </w:r>
          </w:p>
        </w:tc>
        <w:tc>
          <w:tcPr>
            <w:tcW w:w="1737" w:type="dxa"/>
            <w:vAlign w:val="center"/>
          </w:tcPr>
          <w:p>
            <w:pPr>
              <w:spacing w:line="240" w:lineRule="auto"/>
              <w:jc w:val="center"/>
              <w:rPr>
                <w:rFonts w:ascii="Arial" w:hAnsi="Arial" w:cs="Arial"/>
                <w:szCs w:val="21"/>
              </w:rPr>
            </w:pPr>
            <w:r>
              <w:rPr>
                <w:rFonts w:ascii="Arial" w:hAnsi="Arial" w:cs="Arial"/>
                <w:szCs w:val="21"/>
              </w:rPr>
              <w:t>中央民族大学</w:t>
            </w:r>
          </w:p>
        </w:tc>
        <w:tc>
          <w:tcPr>
            <w:tcW w:w="1298" w:type="dxa"/>
            <w:vAlign w:val="center"/>
          </w:tcPr>
          <w:p>
            <w:pPr>
              <w:spacing w:line="240" w:lineRule="auto"/>
              <w:jc w:val="center"/>
              <w:rPr>
                <w:rFonts w:ascii="Arial" w:hAnsi="Arial" w:cs="Arial"/>
                <w:szCs w:val="21"/>
              </w:rPr>
            </w:pPr>
            <w:r>
              <w:rPr>
                <w:rFonts w:ascii="Arial" w:hAnsi="Arial" w:cs="Arial"/>
                <w:szCs w:val="21"/>
              </w:rPr>
              <w:t>22</w:t>
            </w:r>
          </w:p>
        </w:tc>
        <w:tc>
          <w:tcPr>
            <w:tcW w:w="1298" w:type="dxa"/>
            <w:vAlign w:val="center"/>
          </w:tcPr>
          <w:p>
            <w:pPr>
              <w:spacing w:line="240" w:lineRule="auto"/>
              <w:jc w:val="center"/>
              <w:rPr>
                <w:rFonts w:ascii="Arial" w:hAnsi="Arial" w:cs="Arial"/>
                <w:szCs w:val="21"/>
              </w:rPr>
            </w:pPr>
            <w:r>
              <w:rPr>
                <w:rFonts w:ascii="Arial" w:hAnsi="Arial" w:cs="Arial"/>
                <w:szCs w:val="21"/>
              </w:rPr>
              <w:t>42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w:t>
            </w:r>
          </w:p>
        </w:tc>
        <w:tc>
          <w:tcPr>
            <w:tcW w:w="1769" w:type="dxa"/>
            <w:vAlign w:val="center"/>
          </w:tcPr>
          <w:p>
            <w:pPr>
              <w:spacing w:line="240" w:lineRule="auto"/>
              <w:jc w:val="center"/>
              <w:rPr>
                <w:rFonts w:ascii="Arial" w:hAnsi="Arial" w:cs="Arial"/>
                <w:szCs w:val="21"/>
              </w:rPr>
            </w:pPr>
            <w:r>
              <w:rPr>
                <w:rFonts w:ascii="Arial" w:hAnsi="Arial" w:cs="Arial"/>
                <w:szCs w:val="21"/>
              </w:rPr>
              <w:t>中国古典小说巅峰：四大名著鉴赏</w:t>
            </w:r>
          </w:p>
        </w:tc>
        <w:tc>
          <w:tcPr>
            <w:tcW w:w="1298" w:type="dxa"/>
            <w:vAlign w:val="center"/>
          </w:tcPr>
          <w:p>
            <w:pPr>
              <w:spacing w:line="240" w:lineRule="auto"/>
              <w:jc w:val="center"/>
              <w:rPr>
                <w:rFonts w:ascii="Arial" w:hAnsi="Arial" w:cs="Arial"/>
                <w:szCs w:val="21"/>
              </w:rPr>
            </w:pPr>
            <w:r>
              <w:rPr>
                <w:rFonts w:ascii="Arial" w:hAnsi="Arial" w:cs="Arial"/>
                <w:szCs w:val="21"/>
              </w:rPr>
              <w:t>蔡义江、侯会、段启明、段启明</w:t>
            </w:r>
          </w:p>
        </w:tc>
        <w:tc>
          <w:tcPr>
            <w:tcW w:w="1737" w:type="dxa"/>
            <w:vAlign w:val="center"/>
          </w:tcPr>
          <w:p>
            <w:pPr>
              <w:spacing w:line="240" w:lineRule="auto"/>
              <w:jc w:val="center"/>
              <w:rPr>
                <w:rFonts w:ascii="Arial" w:hAnsi="Arial" w:cs="Arial"/>
                <w:szCs w:val="21"/>
              </w:rPr>
            </w:pPr>
            <w:r>
              <w:rPr>
                <w:rFonts w:ascii="Arial" w:hAnsi="Arial" w:cs="Arial"/>
                <w:szCs w:val="21"/>
              </w:rPr>
              <w:t>中国红楼梦学会、首都师范大学、首都师范大学、山东大学</w:t>
            </w:r>
          </w:p>
        </w:tc>
        <w:tc>
          <w:tcPr>
            <w:tcW w:w="1298" w:type="dxa"/>
            <w:vAlign w:val="center"/>
          </w:tcPr>
          <w:p>
            <w:pPr>
              <w:spacing w:line="240" w:lineRule="auto"/>
              <w:jc w:val="center"/>
              <w:rPr>
                <w:rFonts w:ascii="Arial" w:hAnsi="Arial" w:cs="Arial"/>
                <w:szCs w:val="21"/>
              </w:rPr>
            </w:pPr>
            <w:r>
              <w:rPr>
                <w:rFonts w:ascii="Arial" w:hAnsi="Arial" w:cs="Arial"/>
                <w:szCs w:val="21"/>
              </w:rPr>
              <w:t>20</w:t>
            </w:r>
          </w:p>
        </w:tc>
        <w:tc>
          <w:tcPr>
            <w:tcW w:w="1298" w:type="dxa"/>
            <w:vAlign w:val="center"/>
          </w:tcPr>
          <w:p>
            <w:pPr>
              <w:spacing w:line="240" w:lineRule="auto"/>
              <w:jc w:val="center"/>
              <w:rPr>
                <w:rFonts w:ascii="Arial" w:hAnsi="Arial" w:cs="Arial"/>
                <w:szCs w:val="21"/>
              </w:rPr>
            </w:pPr>
            <w:r>
              <w:rPr>
                <w:rFonts w:ascii="Arial" w:hAnsi="Arial" w:cs="Arial"/>
                <w:szCs w:val="21"/>
              </w:rPr>
              <w:t>56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w:t>
            </w:r>
          </w:p>
        </w:tc>
        <w:tc>
          <w:tcPr>
            <w:tcW w:w="1769" w:type="dxa"/>
            <w:vAlign w:val="center"/>
          </w:tcPr>
          <w:p>
            <w:pPr>
              <w:spacing w:line="240" w:lineRule="auto"/>
              <w:jc w:val="center"/>
              <w:rPr>
                <w:rFonts w:ascii="Arial" w:hAnsi="Arial" w:cs="Arial"/>
                <w:szCs w:val="21"/>
              </w:rPr>
            </w:pPr>
            <w:r>
              <w:rPr>
                <w:rFonts w:ascii="Arial" w:hAnsi="Arial" w:cs="Arial"/>
                <w:szCs w:val="21"/>
              </w:rPr>
              <w:t>中国文化概论</w:t>
            </w:r>
          </w:p>
        </w:tc>
        <w:tc>
          <w:tcPr>
            <w:tcW w:w="1298" w:type="dxa"/>
            <w:vAlign w:val="center"/>
          </w:tcPr>
          <w:p>
            <w:pPr>
              <w:spacing w:line="240" w:lineRule="auto"/>
              <w:jc w:val="center"/>
              <w:rPr>
                <w:rFonts w:ascii="Arial" w:hAnsi="Arial" w:cs="Arial"/>
                <w:szCs w:val="21"/>
              </w:rPr>
            </w:pPr>
            <w:r>
              <w:rPr>
                <w:rFonts w:ascii="Arial" w:hAnsi="Arial" w:cs="Arial"/>
                <w:szCs w:val="21"/>
              </w:rPr>
              <w:t>李  山</w:t>
            </w:r>
          </w:p>
        </w:tc>
        <w:tc>
          <w:tcPr>
            <w:tcW w:w="1737" w:type="dxa"/>
            <w:vAlign w:val="center"/>
          </w:tcPr>
          <w:p>
            <w:pPr>
              <w:spacing w:line="240" w:lineRule="auto"/>
              <w:jc w:val="center"/>
              <w:rPr>
                <w:rFonts w:ascii="Arial" w:hAnsi="Arial" w:cs="Arial"/>
                <w:szCs w:val="21"/>
              </w:rPr>
            </w:pPr>
            <w:r>
              <w:rPr>
                <w:rFonts w:ascii="Arial" w:hAnsi="Arial" w:cs="Arial"/>
                <w:szCs w:val="21"/>
              </w:rPr>
              <w:t>北京师范大学</w:t>
            </w:r>
          </w:p>
        </w:tc>
        <w:tc>
          <w:tcPr>
            <w:tcW w:w="1298" w:type="dxa"/>
            <w:vAlign w:val="center"/>
          </w:tcPr>
          <w:p>
            <w:pPr>
              <w:spacing w:line="240" w:lineRule="auto"/>
              <w:jc w:val="center"/>
              <w:rPr>
                <w:rFonts w:ascii="Arial" w:hAnsi="Arial" w:cs="Arial"/>
                <w:szCs w:val="21"/>
              </w:rPr>
            </w:pPr>
            <w:r>
              <w:rPr>
                <w:rFonts w:ascii="Arial" w:hAnsi="Arial" w:cs="Arial"/>
                <w:szCs w:val="21"/>
              </w:rPr>
              <w:t>167</w:t>
            </w:r>
          </w:p>
        </w:tc>
        <w:tc>
          <w:tcPr>
            <w:tcW w:w="1298" w:type="dxa"/>
            <w:vAlign w:val="center"/>
          </w:tcPr>
          <w:p>
            <w:pPr>
              <w:spacing w:line="240" w:lineRule="auto"/>
              <w:jc w:val="center"/>
              <w:rPr>
                <w:rFonts w:ascii="Arial" w:hAnsi="Arial" w:cs="Arial"/>
                <w:szCs w:val="21"/>
              </w:rPr>
            </w:pPr>
            <w:r>
              <w:rPr>
                <w:rFonts w:ascii="Arial" w:hAnsi="Arial" w:cs="Arial"/>
                <w:szCs w:val="21"/>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7</w:t>
            </w:r>
          </w:p>
        </w:tc>
        <w:tc>
          <w:tcPr>
            <w:tcW w:w="1769" w:type="dxa"/>
            <w:vAlign w:val="center"/>
          </w:tcPr>
          <w:p>
            <w:pPr>
              <w:spacing w:line="240" w:lineRule="auto"/>
              <w:jc w:val="center"/>
              <w:rPr>
                <w:rFonts w:ascii="Arial" w:hAnsi="Arial" w:cs="Arial"/>
                <w:szCs w:val="21"/>
              </w:rPr>
            </w:pPr>
            <w:r>
              <w:rPr>
                <w:rFonts w:ascii="Arial" w:hAnsi="Arial" w:cs="Arial"/>
                <w:szCs w:val="21"/>
              </w:rPr>
              <w:t>九型人格之职场心理</w:t>
            </w:r>
          </w:p>
        </w:tc>
        <w:tc>
          <w:tcPr>
            <w:tcW w:w="1298" w:type="dxa"/>
            <w:vAlign w:val="center"/>
          </w:tcPr>
          <w:p>
            <w:pPr>
              <w:spacing w:line="240" w:lineRule="auto"/>
              <w:jc w:val="center"/>
              <w:rPr>
                <w:rFonts w:ascii="Arial" w:hAnsi="Arial" w:cs="Arial"/>
                <w:szCs w:val="21"/>
              </w:rPr>
            </w:pPr>
            <w:r>
              <w:rPr>
                <w:rFonts w:ascii="Arial" w:hAnsi="Arial" w:cs="Arial"/>
                <w:szCs w:val="21"/>
              </w:rPr>
              <w:t>洪新</w:t>
            </w:r>
          </w:p>
        </w:tc>
        <w:tc>
          <w:tcPr>
            <w:tcW w:w="1737" w:type="dxa"/>
            <w:vAlign w:val="center"/>
          </w:tcPr>
          <w:p>
            <w:pPr>
              <w:spacing w:line="240" w:lineRule="auto"/>
              <w:jc w:val="center"/>
              <w:rPr>
                <w:rFonts w:ascii="Arial" w:hAnsi="Arial" w:cs="Arial"/>
                <w:szCs w:val="21"/>
              </w:rPr>
            </w:pPr>
            <w:r>
              <w:rPr>
                <w:rFonts w:ascii="Arial" w:hAnsi="Arial" w:cs="Arial"/>
                <w:szCs w:val="21"/>
              </w:rPr>
              <w:t>中国九型人格导师协会</w:t>
            </w:r>
          </w:p>
        </w:tc>
        <w:tc>
          <w:tcPr>
            <w:tcW w:w="1298" w:type="dxa"/>
            <w:vAlign w:val="center"/>
          </w:tcPr>
          <w:p>
            <w:pPr>
              <w:spacing w:line="240" w:lineRule="auto"/>
              <w:jc w:val="center"/>
              <w:rPr>
                <w:rFonts w:ascii="Arial" w:hAnsi="Arial" w:cs="Arial"/>
                <w:szCs w:val="21"/>
              </w:rPr>
            </w:pPr>
            <w:r>
              <w:rPr>
                <w:rFonts w:ascii="Arial" w:hAnsi="Arial" w:cs="Arial"/>
                <w:szCs w:val="21"/>
              </w:rPr>
              <w:t>27</w:t>
            </w:r>
          </w:p>
        </w:tc>
        <w:tc>
          <w:tcPr>
            <w:tcW w:w="1298" w:type="dxa"/>
            <w:vAlign w:val="center"/>
          </w:tcPr>
          <w:p>
            <w:pPr>
              <w:spacing w:line="240" w:lineRule="auto"/>
              <w:jc w:val="center"/>
              <w:rPr>
                <w:rFonts w:ascii="Arial" w:hAnsi="Arial" w:cs="Arial"/>
                <w:szCs w:val="21"/>
              </w:rPr>
            </w:pPr>
            <w:r>
              <w:rPr>
                <w:rFonts w:ascii="Arial" w:hAnsi="Arial" w:cs="Arial"/>
                <w:szCs w:val="21"/>
              </w:rPr>
              <w:t>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8</w:t>
            </w:r>
          </w:p>
        </w:tc>
        <w:tc>
          <w:tcPr>
            <w:tcW w:w="1769" w:type="dxa"/>
            <w:vAlign w:val="center"/>
          </w:tcPr>
          <w:p>
            <w:pPr>
              <w:spacing w:line="240" w:lineRule="auto"/>
              <w:jc w:val="center"/>
              <w:rPr>
                <w:rFonts w:ascii="Arial" w:hAnsi="Arial" w:cs="Arial"/>
                <w:szCs w:val="21"/>
              </w:rPr>
            </w:pPr>
            <w:r>
              <w:rPr>
                <w:rFonts w:ascii="Arial" w:hAnsi="Arial" w:cs="Arial"/>
                <w:szCs w:val="21"/>
              </w:rPr>
              <w:t>人力资源招聘与选拔</w:t>
            </w:r>
          </w:p>
        </w:tc>
        <w:tc>
          <w:tcPr>
            <w:tcW w:w="1298" w:type="dxa"/>
            <w:vAlign w:val="center"/>
          </w:tcPr>
          <w:p>
            <w:pPr>
              <w:spacing w:line="240" w:lineRule="auto"/>
              <w:jc w:val="center"/>
              <w:rPr>
                <w:rFonts w:ascii="Arial" w:hAnsi="Arial" w:cs="Arial"/>
                <w:szCs w:val="21"/>
              </w:rPr>
            </w:pPr>
            <w:r>
              <w:rPr>
                <w:rFonts w:ascii="Arial" w:hAnsi="Arial" w:cs="Arial"/>
                <w:szCs w:val="21"/>
              </w:rPr>
              <w:t>于海波</w:t>
            </w:r>
          </w:p>
        </w:tc>
        <w:tc>
          <w:tcPr>
            <w:tcW w:w="1737" w:type="dxa"/>
            <w:vAlign w:val="center"/>
          </w:tcPr>
          <w:p>
            <w:pPr>
              <w:spacing w:line="240" w:lineRule="auto"/>
              <w:jc w:val="center"/>
              <w:rPr>
                <w:rFonts w:ascii="Arial" w:hAnsi="Arial" w:cs="Arial"/>
                <w:szCs w:val="21"/>
              </w:rPr>
            </w:pPr>
            <w:r>
              <w:rPr>
                <w:rFonts w:ascii="Arial" w:hAnsi="Arial" w:cs="Arial"/>
                <w:szCs w:val="21"/>
              </w:rPr>
              <w:t>北京师范大学</w:t>
            </w:r>
          </w:p>
        </w:tc>
        <w:tc>
          <w:tcPr>
            <w:tcW w:w="1298" w:type="dxa"/>
            <w:vAlign w:val="center"/>
          </w:tcPr>
          <w:p>
            <w:pPr>
              <w:spacing w:line="240" w:lineRule="auto"/>
              <w:jc w:val="center"/>
              <w:rPr>
                <w:rFonts w:ascii="Arial" w:hAnsi="Arial" w:cs="Arial"/>
                <w:szCs w:val="21"/>
              </w:rPr>
            </w:pPr>
            <w:r>
              <w:rPr>
                <w:rFonts w:ascii="Arial" w:hAnsi="Arial" w:cs="Arial"/>
                <w:szCs w:val="21"/>
              </w:rPr>
              <w:t>78</w:t>
            </w:r>
          </w:p>
        </w:tc>
        <w:tc>
          <w:tcPr>
            <w:tcW w:w="1298" w:type="dxa"/>
            <w:vAlign w:val="center"/>
          </w:tcPr>
          <w:p>
            <w:pPr>
              <w:spacing w:line="240" w:lineRule="auto"/>
              <w:jc w:val="center"/>
              <w:rPr>
                <w:rFonts w:ascii="Arial" w:hAnsi="Arial" w:cs="Arial"/>
                <w:szCs w:val="21"/>
              </w:rPr>
            </w:pPr>
            <w:r>
              <w:rPr>
                <w:rFonts w:ascii="Arial" w:hAnsi="Arial" w:cs="Arial"/>
                <w:szCs w:val="21"/>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9</w:t>
            </w:r>
          </w:p>
        </w:tc>
        <w:tc>
          <w:tcPr>
            <w:tcW w:w="1769" w:type="dxa"/>
            <w:vAlign w:val="center"/>
          </w:tcPr>
          <w:p>
            <w:pPr>
              <w:spacing w:line="240" w:lineRule="auto"/>
              <w:jc w:val="center"/>
              <w:rPr>
                <w:rFonts w:ascii="Arial" w:hAnsi="Arial" w:cs="Arial"/>
                <w:szCs w:val="21"/>
              </w:rPr>
            </w:pPr>
            <w:r>
              <w:rPr>
                <w:rFonts w:ascii="Arial" w:hAnsi="Arial" w:cs="Arial"/>
                <w:szCs w:val="21"/>
              </w:rPr>
              <w:t>企业绿色管理</w:t>
            </w:r>
          </w:p>
        </w:tc>
        <w:tc>
          <w:tcPr>
            <w:tcW w:w="1298" w:type="dxa"/>
            <w:vAlign w:val="center"/>
          </w:tcPr>
          <w:p>
            <w:pPr>
              <w:spacing w:line="240" w:lineRule="auto"/>
              <w:jc w:val="center"/>
              <w:rPr>
                <w:rFonts w:ascii="Arial" w:hAnsi="Arial" w:cs="Arial"/>
                <w:szCs w:val="21"/>
              </w:rPr>
            </w:pPr>
            <w:r>
              <w:rPr>
                <w:rFonts w:ascii="Arial" w:hAnsi="Arial" w:cs="Arial"/>
                <w:szCs w:val="21"/>
              </w:rPr>
              <w:t>万玺 等</w:t>
            </w:r>
          </w:p>
        </w:tc>
        <w:tc>
          <w:tcPr>
            <w:tcW w:w="1737" w:type="dxa"/>
            <w:vAlign w:val="center"/>
          </w:tcPr>
          <w:p>
            <w:pPr>
              <w:spacing w:line="240" w:lineRule="auto"/>
              <w:jc w:val="center"/>
              <w:rPr>
                <w:rFonts w:ascii="Arial" w:hAnsi="Arial" w:cs="Arial"/>
                <w:szCs w:val="21"/>
              </w:rPr>
            </w:pPr>
            <w:r>
              <w:rPr>
                <w:rFonts w:ascii="Arial" w:hAnsi="Arial" w:cs="Arial"/>
                <w:szCs w:val="21"/>
              </w:rPr>
              <w:t>重庆科技学院</w:t>
            </w:r>
          </w:p>
        </w:tc>
        <w:tc>
          <w:tcPr>
            <w:tcW w:w="1298" w:type="dxa"/>
            <w:vAlign w:val="center"/>
          </w:tcPr>
          <w:p>
            <w:pPr>
              <w:spacing w:line="240" w:lineRule="auto"/>
              <w:jc w:val="center"/>
              <w:rPr>
                <w:rFonts w:ascii="Arial" w:hAnsi="Arial" w:cs="Arial"/>
                <w:szCs w:val="21"/>
              </w:rPr>
            </w:pPr>
            <w:r>
              <w:rPr>
                <w:rFonts w:ascii="Arial" w:hAnsi="Arial" w:cs="Arial"/>
                <w:szCs w:val="21"/>
              </w:rPr>
              <w:t>16</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10</w:t>
            </w:r>
          </w:p>
        </w:tc>
        <w:tc>
          <w:tcPr>
            <w:tcW w:w="1769" w:type="dxa"/>
            <w:vAlign w:val="center"/>
          </w:tcPr>
          <w:p>
            <w:pPr>
              <w:spacing w:line="240" w:lineRule="auto"/>
              <w:jc w:val="center"/>
              <w:rPr>
                <w:rFonts w:ascii="Arial" w:hAnsi="Arial" w:cs="Arial"/>
                <w:szCs w:val="21"/>
              </w:rPr>
            </w:pPr>
            <w:r>
              <w:rPr>
                <w:rFonts w:ascii="Arial" w:hAnsi="Arial" w:cs="Arial"/>
                <w:szCs w:val="21"/>
              </w:rPr>
              <w:t>传统文化与现代经营管理</w:t>
            </w:r>
          </w:p>
        </w:tc>
        <w:tc>
          <w:tcPr>
            <w:tcW w:w="1298" w:type="dxa"/>
            <w:vAlign w:val="center"/>
          </w:tcPr>
          <w:p>
            <w:pPr>
              <w:spacing w:line="240" w:lineRule="auto"/>
              <w:jc w:val="center"/>
              <w:rPr>
                <w:rFonts w:ascii="Arial" w:hAnsi="Arial" w:cs="Arial"/>
                <w:szCs w:val="21"/>
              </w:rPr>
            </w:pPr>
            <w:r>
              <w:rPr>
                <w:rFonts w:ascii="Arial" w:hAnsi="Arial" w:cs="Arial"/>
                <w:szCs w:val="21"/>
              </w:rPr>
              <w:t>李庚其</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298" w:type="dxa"/>
            <w:vAlign w:val="center"/>
          </w:tcPr>
          <w:p>
            <w:pPr>
              <w:spacing w:line="240" w:lineRule="auto"/>
              <w:jc w:val="center"/>
              <w:rPr>
                <w:rFonts w:ascii="Arial" w:hAnsi="Arial" w:cs="Arial"/>
                <w:szCs w:val="21"/>
              </w:rPr>
            </w:pPr>
            <w:r>
              <w:rPr>
                <w:rFonts w:ascii="Arial" w:hAnsi="Arial" w:cs="Arial"/>
                <w:szCs w:val="21"/>
              </w:rPr>
              <w:t>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11</w:t>
            </w:r>
          </w:p>
        </w:tc>
        <w:tc>
          <w:tcPr>
            <w:tcW w:w="1769" w:type="dxa"/>
            <w:vAlign w:val="center"/>
          </w:tcPr>
          <w:p>
            <w:pPr>
              <w:spacing w:line="240" w:lineRule="auto"/>
              <w:jc w:val="center"/>
              <w:rPr>
                <w:rFonts w:ascii="Arial" w:hAnsi="Arial" w:cs="Arial"/>
                <w:szCs w:val="21"/>
              </w:rPr>
            </w:pPr>
            <w:r>
              <w:rPr>
                <w:rFonts w:ascii="Arial" w:hAnsi="Arial" w:cs="Arial"/>
                <w:szCs w:val="21"/>
              </w:rPr>
              <w:t>儒学与生活</w:t>
            </w:r>
          </w:p>
        </w:tc>
        <w:tc>
          <w:tcPr>
            <w:tcW w:w="1298" w:type="dxa"/>
            <w:vAlign w:val="center"/>
          </w:tcPr>
          <w:p>
            <w:pPr>
              <w:spacing w:line="240" w:lineRule="auto"/>
              <w:jc w:val="center"/>
              <w:rPr>
                <w:rFonts w:ascii="Arial" w:hAnsi="Arial" w:cs="Arial"/>
                <w:szCs w:val="21"/>
              </w:rPr>
            </w:pPr>
            <w:r>
              <w:rPr>
                <w:rFonts w:ascii="Arial" w:hAnsi="Arial" w:cs="Arial"/>
                <w:szCs w:val="21"/>
              </w:rPr>
              <w:t>黄玉顺</w:t>
            </w:r>
          </w:p>
        </w:tc>
        <w:tc>
          <w:tcPr>
            <w:tcW w:w="1737" w:type="dxa"/>
            <w:vAlign w:val="center"/>
          </w:tcPr>
          <w:p>
            <w:pPr>
              <w:spacing w:line="240" w:lineRule="auto"/>
              <w:jc w:val="center"/>
              <w:rPr>
                <w:rFonts w:ascii="Arial" w:hAnsi="Arial" w:cs="Arial"/>
                <w:szCs w:val="21"/>
              </w:rPr>
            </w:pPr>
            <w:r>
              <w:rPr>
                <w:rFonts w:ascii="Arial" w:hAnsi="Arial" w:cs="Arial"/>
                <w:szCs w:val="21"/>
              </w:rPr>
              <w:t>山东大学</w:t>
            </w:r>
          </w:p>
        </w:tc>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298" w:type="dxa"/>
            <w:vAlign w:val="center"/>
          </w:tcPr>
          <w:p>
            <w:pPr>
              <w:spacing w:line="240" w:lineRule="auto"/>
              <w:jc w:val="center"/>
              <w:rPr>
                <w:rFonts w:ascii="Arial" w:hAnsi="Arial" w:cs="Arial"/>
                <w:szCs w:val="21"/>
              </w:rPr>
            </w:pPr>
            <w:r>
              <w:rPr>
                <w:rFonts w:ascii="Arial" w:hAnsi="Arial" w:cs="Arial"/>
                <w:szCs w:val="21"/>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769" w:type="dxa"/>
            <w:vAlign w:val="center"/>
          </w:tcPr>
          <w:p>
            <w:pPr>
              <w:spacing w:line="240" w:lineRule="auto"/>
              <w:jc w:val="center"/>
              <w:rPr>
                <w:rFonts w:ascii="Arial" w:hAnsi="Arial" w:cs="Arial"/>
                <w:szCs w:val="21"/>
              </w:rPr>
            </w:pPr>
            <w:r>
              <w:rPr>
                <w:rFonts w:ascii="Arial" w:hAnsi="Arial" w:cs="Arial"/>
                <w:szCs w:val="21"/>
              </w:rPr>
              <w:t>公共关系礼仪实务</w:t>
            </w:r>
          </w:p>
        </w:tc>
        <w:tc>
          <w:tcPr>
            <w:tcW w:w="1298" w:type="dxa"/>
            <w:vAlign w:val="center"/>
          </w:tcPr>
          <w:p>
            <w:pPr>
              <w:spacing w:line="240" w:lineRule="auto"/>
              <w:jc w:val="center"/>
              <w:rPr>
                <w:rFonts w:ascii="Arial" w:hAnsi="Arial" w:cs="Arial"/>
                <w:szCs w:val="21"/>
              </w:rPr>
            </w:pPr>
            <w:r>
              <w:rPr>
                <w:rFonts w:ascii="Arial" w:hAnsi="Arial" w:cs="Arial"/>
                <w:szCs w:val="21"/>
              </w:rPr>
              <w:t>杜汉荣</w:t>
            </w:r>
          </w:p>
        </w:tc>
        <w:tc>
          <w:tcPr>
            <w:tcW w:w="1737" w:type="dxa"/>
            <w:vAlign w:val="center"/>
          </w:tcPr>
          <w:p>
            <w:pPr>
              <w:spacing w:line="240" w:lineRule="auto"/>
              <w:jc w:val="center"/>
              <w:rPr>
                <w:rFonts w:ascii="Arial" w:hAnsi="Arial" w:cs="Arial"/>
                <w:szCs w:val="21"/>
              </w:rPr>
            </w:pPr>
            <w:r>
              <w:rPr>
                <w:rFonts w:ascii="Arial" w:hAnsi="Arial" w:cs="Arial"/>
                <w:szCs w:val="21"/>
              </w:rPr>
              <w:t>上海理工大学</w:t>
            </w:r>
          </w:p>
        </w:tc>
        <w:tc>
          <w:tcPr>
            <w:tcW w:w="1298" w:type="dxa"/>
            <w:vAlign w:val="center"/>
          </w:tcPr>
          <w:p>
            <w:pPr>
              <w:spacing w:line="240" w:lineRule="auto"/>
              <w:jc w:val="center"/>
              <w:rPr>
                <w:rFonts w:ascii="Arial" w:hAnsi="Arial" w:cs="Arial"/>
                <w:szCs w:val="21"/>
              </w:rPr>
            </w:pPr>
            <w:r>
              <w:rPr>
                <w:rFonts w:ascii="Arial" w:hAnsi="Arial" w:cs="Arial"/>
                <w:szCs w:val="21"/>
              </w:rPr>
              <w:t>110</w:t>
            </w:r>
          </w:p>
        </w:tc>
        <w:tc>
          <w:tcPr>
            <w:tcW w:w="1298" w:type="dxa"/>
            <w:vAlign w:val="center"/>
          </w:tcPr>
          <w:p>
            <w:pPr>
              <w:spacing w:line="240" w:lineRule="auto"/>
              <w:jc w:val="center"/>
              <w:rPr>
                <w:rFonts w:ascii="Arial" w:hAnsi="Arial" w:cs="Arial"/>
                <w:szCs w:val="21"/>
              </w:rPr>
            </w:pPr>
            <w:r>
              <w:rPr>
                <w:rFonts w:ascii="Arial" w:hAnsi="Arial" w:cs="Arial"/>
                <w:szCs w:val="21"/>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13</w:t>
            </w:r>
          </w:p>
        </w:tc>
        <w:tc>
          <w:tcPr>
            <w:tcW w:w="1769" w:type="dxa"/>
            <w:vAlign w:val="center"/>
          </w:tcPr>
          <w:p>
            <w:pPr>
              <w:spacing w:line="240" w:lineRule="auto"/>
              <w:jc w:val="center"/>
              <w:rPr>
                <w:rFonts w:ascii="Arial" w:hAnsi="Arial" w:cs="Arial"/>
                <w:szCs w:val="21"/>
              </w:rPr>
            </w:pPr>
            <w:r>
              <w:rPr>
                <w:rFonts w:ascii="Arial" w:hAnsi="Arial" w:cs="Arial"/>
                <w:szCs w:val="21"/>
              </w:rPr>
              <w:t>军事理论（南开版）</w:t>
            </w:r>
          </w:p>
        </w:tc>
        <w:tc>
          <w:tcPr>
            <w:tcW w:w="1298" w:type="dxa"/>
            <w:vAlign w:val="center"/>
          </w:tcPr>
          <w:p>
            <w:pPr>
              <w:spacing w:line="240" w:lineRule="auto"/>
              <w:jc w:val="center"/>
              <w:rPr>
                <w:rFonts w:ascii="Arial" w:hAnsi="Arial" w:cs="Arial"/>
                <w:szCs w:val="21"/>
              </w:rPr>
            </w:pPr>
            <w:r>
              <w:rPr>
                <w:rFonts w:ascii="Arial" w:hAnsi="Arial" w:cs="Arial"/>
                <w:szCs w:val="21"/>
              </w:rPr>
              <w:t>艾跃进、 赵宗九</w:t>
            </w:r>
          </w:p>
        </w:tc>
        <w:tc>
          <w:tcPr>
            <w:tcW w:w="1737" w:type="dxa"/>
            <w:vAlign w:val="center"/>
          </w:tcPr>
          <w:p>
            <w:pPr>
              <w:spacing w:line="240" w:lineRule="auto"/>
              <w:jc w:val="center"/>
              <w:rPr>
                <w:rFonts w:ascii="Arial" w:hAnsi="Arial" w:cs="Arial"/>
                <w:szCs w:val="21"/>
              </w:rPr>
            </w:pPr>
            <w:r>
              <w:rPr>
                <w:rFonts w:ascii="Arial" w:hAnsi="Arial" w:cs="Arial"/>
                <w:szCs w:val="21"/>
              </w:rPr>
              <w:t>南开大学、国防大学</w:t>
            </w:r>
          </w:p>
        </w:tc>
        <w:tc>
          <w:tcPr>
            <w:tcW w:w="1298" w:type="dxa"/>
            <w:vAlign w:val="center"/>
          </w:tcPr>
          <w:p>
            <w:pPr>
              <w:spacing w:line="240" w:lineRule="auto"/>
              <w:jc w:val="center"/>
              <w:rPr>
                <w:rFonts w:ascii="Arial" w:hAnsi="Arial" w:cs="Arial"/>
                <w:szCs w:val="21"/>
              </w:rPr>
            </w:pPr>
            <w:r>
              <w:rPr>
                <w:rFonts w:ascii="Arial" w:hAnsi="Arial" w:cs="Arial"/>
                <w:szCs w:val="21"/>
              </w:rPr>
              <w:t>1868</w:t>
            </w:r>
          </w:p>
        </w:tc>
        <w:tc>
          <w:tcPr>
            <w:tcW w:w="1298" w:type="dxa"/>
            <w:vAlign w:val="center"/>
          </w:tcPr>
          <w:p>
            <w:pPr>
              <w:spacing w:line="240" w:lineRule="auto"/>
              <w:jc w:val="center"/>
              <w:rPr>
                <w:rFonts w:ascii="Arial" w:hAnsi="Arial" w:cs="Arial"/>
                <w:szCs w:val="21"/>
              </w:rPr>
            </w:pPr>
            <w:r>
              <w:rPr>
                <w:rFonts w:ascii="Arial" w:hAnsi="Arial" w:cs="Arial"/>
                <w:szCs w:val="21"/>
              </w:rPr>
              <w:t>36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14</w:t>
            </w:r>
          </w:p>
        </w:tc>
        <w:tc>
          <w:tcPr>
            <w:tcW w:w="1769" w:type="dxa"/>
            <w:vAlign w:val="center"/>
          </w:tcPr>
          <w:p>
            <w:pPr>
              <w:spacing w:line="240" w:lineRule="auto"/>
              <w:jc w:val="center"/>
              <w:rPr>
                <w:rFonts w:ascii="Arial" w:hAnsi="Arial" w:cs="Arial"/>
                <w:szCs w:val="21"/>
              </w:rPr>
            </w:pPr>
            <w:r>
              <w:rPr>
                <w:rFonts w:ascii="Arial" w:hAnsi="Arial" w:cs="Arial"/>
                <w:szCs w:val="21"/>
              </w:rPr>
              <w:t>创业法学</w:t>
            </w:r>
          </w:p>
        </w:tc>
        <w:tc>
          <w:tcPr>
            <w:tcW w:w="1298" w:type="dxa"/>
            <w:vAlign w:val="center"/>
          </w:tcPr>
          <w:p>
            <w:pPr>
              <w:spacing w:line="240" w:lineRule="auto"/>
              <w:jc w:val="center"/>
              <w:rPr>
                <w:rFonts w:ascii="Arial" w:hAnsi="Arial" w:cs="Arial"/>
                <w:szCs w:val="21"/>
              </w:rPr>
            </w:pPr>
            <w:r>
              <w:rPr>
                <w:rFonts w:ascii="Arial" w:hAnsi="Arial" w:cs="Arial"/>
                <w:szCs w:val="21"/>
              </w:rPr>
              <w:t>邓辉 等</w:t>
            </w:r>
          </w:p>
        </w:tc>
        <w:tc>
          <w:tcPr>
            <w:tcW w:w="1737" w:type="dxa"/>
            <w:vAlign w:val="center"/>
          </w:tcPr>
          <w:p>
            <w:pPr>
              <w:spacing w:line="240" w:lineRule="auto"/>
              <w:jc w:val="center"/>
              <w:rPr>
                <w:rFonts w:ascii="Arial" w:hAnsi="Arial" w:cs="Arial"/>
                <w:szCs w:val="21"/>
              </w:rPr>
            </w:pPr>
            <w:r>
              <w:rPr>
                <w:rFonts w:ascii="Arial" w:hAnsi="Arial" w:cs="Arial"/>
                <w:szCs w:val="21"/>
              </w:rPr>
              <w:t>江西财经大学</w:t>
            </w:r>
          </w:p>
        </w:tc>
        <w:tc>
          <w:tcPr>
            <w:tcW w:w="1298" w:type="dxa"/>
            <w:vAlign w:val="center"/>
          </w:tcPr>
          <w:p>
            <w:pPr>
              <w:spacing w:line="240" w:lineRule="auto"/>
              <w:jc w:val="center"/>
              <w:rPr>
                <w:rFonts w:ascii="Arial" w:hAnsi="Arial" w:cs="Arial"/>
                <w:szCs w:val="21"/>
              </w:rPr>
            </w:pPr>
            <w:r>
              <w:rPr>
                <w:rFonts w:ascii="Arial" w:hAnsi="Arial" w:cs="Arial"/>
                <w:szCs w:val="21"/>
              </w:rPr>
              <w:t>3</w:t>
            </w:r>
          </w:p>
        </w:tc>
        <w:tc>
          <w:tcPr>
            <w:tcW w:w="1298" w:type="dxa"/>
            <w:vAlign w:val="center"/>
          </w:tcPr>
          <w:p>
            <w:pPr>
              <w:spacing w:line="240" w:lineRule="auto"/>
              <w:jc w:val="center"/>
              <w:rPr>
                <w:rFonts w:ascii="Arial" w:hAnsi="Arial" w:cs="Arial"/>
                <w:szCs w:val="21"/>
              </w:rPr>
            </w:pPr>
            <w:r>
              <w:rPr>
                <w:rFonts w:ascii="Arial" w:hAnsi="Arial" w:cs="Arial"/>
                <w:szCs w:val="21"/>
              </w:rPr>
              <w:t>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15</w:t>
            </w:r>
          </w:p>
        </w:tc>
        <w:tc>
          <w:tcPr>
            <w:tcW w:w="1769" w:type="dxa"/>
            <w:vAlign w:val="center"/>
          </w:tcPr>
          <w:p>
            <w:pPr>
              <w:spacing w:line="240" w:lineRule="auto"/>
              <w:jc w:val="center"/>
              <w:rPr>
                <w:rFonts w:ascii="Arial" w:hAnsi="Arial" w:cs="Arial"/>
                <w:szCs w:val="21"/>
              </w:rPr>
            </w:pPr>
            <w:r>
              <w:rPr>
                <w:rFonts w:ascii="Arial" w:hAnsi="Arial" w:cs="Arial"/>
                <w:szCs w:val="21"/>
              </w:rPr>
              <w:t>创新创业</w:t>
            </w:r>
          </w:p>
        </w:tc>
        <w:tc>
          <w:tcPr>
            <w:tcW w:w="1298" w:type="dxa"/>
            <w:vAlign w:val="center"/>
          </w:tcPr>
          <w:p>
            <w:pPr>
              <w:spacing w:line="240" w:lineRule="auto"/>
              <w:jc w:val="center"/>
              <w:rPr>
                <w:rFonts w:ascii="Arial" w:hAnsi="Arial" w:cs="Arial"/>
                <w:szCs w:val="21"/>
              </w:rPr>
            </w:pPr>
            <w:r>
              <w:rPr>
                <w:rFonts w:ascii="Arial" w:hAnsi="Arial" w:cs="Arial"/>
                <w:szCs w:val="21"/>
              </w:rPr>
              <w:t>朱恒源</w:t>
            </w:r>
          </w:p>
        </w:tc>
        <w:tc>
          <w:tcPr>
            <w:tcW w:w="1737" w:type="dxa"/>
            <w:vAlign w:val="center"/>
          </w:tcPr>
          <w:p>
            <w:pPr>
              <w:spacing w:line="240" w:lineRule="auto"/>
              <w:jc w:val="center"/>
              <w:rPr>
                <w:rFonts w:ascii="Arial" w:hAnsi="Arial" w:cs="Arial"/>
                <w:szCs w:val="21"/>
              </w:rPr>
            </w:pPr>
            <w:r>
              <w:rPr>
                <w:rFonts w:ascii="Arial" w:hAnsi="Arial" w:cs="Arial"/>
                <w:szCs w:val="21"/>
              </w:rPr>
              <w:t>清华大学</w:t>
            </w:r>
          </w:p>
        </w:tc>
        <w:tc>
          <w:tcPr>
            <w:tcW w:w="1298" w:type="dxa"/>
            <w:vAlign w:val="center"/>
          </w:tcPr>
          <w:p>
            <w:pPr>
              <w:spacing w:line="240" w:lineRule="auto"/>
              <w:jc w:val="center"/>
              <w:rPr>
                <w:rFonts w:ascii="Arial" w:hAnsi="Arial" w:cs="Arial"/>
                <w:szCs w:val="21"/>
              </w:rPr>
            </w:pPr>
            <w:r>
              <w:rPr>
                <w:rFonts w:ascii="Arial" w:hAnsi="Arial" w:cs="Arial"/>
                <w:szCs w:val="21"/>
              </w:rPr>
              <w:t>235</w:t>
            </w:r>
          </w:p>
        </w:tc>
        <w:tc>
          <w:tcPr>
            <w:tcW w:w="1298" w:type="dxa"/>
            <w:vAlign w:val="center"/>
          </w:tcPr>
          <w:p>
            <w:pPr>
              <w:spacing w:line="240" w:lineRule="auto"/>
              <w:jc w:val="center"/>
              <w:rPr>
                <w:rFonts w:ascii="Arial" w:hAnsi="Arial" w:cs="Arial"/>
                <w:szCs w:val="21"/>
              </w:rPr>
            </w:pPr>
            <w:r>
              <w:rPr>
                <w:rFonts w:ascii="Arial" w:hAnsi="Arial" w:cs="Arial"/>
                <w:szCs w:val="21"/>
              </w:rPr>
              <w:t>47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16</w:t>
            </w:r>
          </w:p>
        </w:tc>
        <w:tc>
          <w:tcPr>
            <w:tcW w:w="1769" w:type="dxa"/>
            <w:vAlign w:val="center"/>
          </w:tcPr>
          <w:p>
            <w:pPr>
              <w:spacing w:line="240" w:lineRule="auto"/>
              <w:jc w:val="center"/>
              <w:rPr>
                <w:rFonts w:ascii="Arial" w:hAnsi="Arial" w:cs="Arial"/>
                <w:szCs w:val="21"/>
              </w:rPr>
            </w:pPr>
            <w:r>
              <w:rPr>
                <w:rFonts w:ascii="Arial" w:hAnsi="Arial" w:cs="Arial"/>
                <w:szCs w:val="21"/>
              </w:rPr>
              <w:t>创新创业大赛赛前特训</w:t>
            </w:r>
          </w:p>
        </w:tc>
        <w:tc>
          <w:tcPr>
            <w:tcW w:w="1298" w:type="dxa"/>
            <w:vAlign w:val="center"/>
          </w:tcPr>
          <w:p>
            <w:pPr>
              <w:spacing w:line="240" w:lineRule="auto"/>
              <w:jc w:val="center"/>
              <w:rPr>
                <w:rFonts w:ascii="Arial" w:hAnsi="Arial" w:cs="Arial"/>
                <w:szCs w:val="21"/>
              </w:rPr>
            </w:pPr>
            <w:r>
              <w:rPr>
                <w:rFonts w:ascii="Arial" w:hAnsi="Arial" w:cs="Arial"/>
                <w:szCs w:val="21"/>
              </w:rPr>
              <w:t>元志中</w:t>
            </w:r>
          </w:p>
        </w:tc>
        <w:tc>
          <w:tcPr>
            <w:tcW w:w="1737" w:type="dxa"/>
            <w:vAlign w:val="center"/>
          </w:tcPr>
          <w:p>
            <w:pPr>
              <w:spacing w:line="240" w:lineRule="auto"/>
              <w:jc w:val="center"/>
              <w:rPr>
                <w:rFonts w:ascii="Arial" w:hAnsi="Arial" w:cs="Arial"/>
                <w:szCs w:val="21"/>
              </w:rPr>
            </w:pPr>
            <w:r>
              <w:rPr>
                <w:rFonts w:ascii="Arial" w:hAnsi="Arial" w:cs="Arial"/>
                <w:szCs w:val="21"/>
              </w:rPr>
              <w:t>中国创新创业大赛</w:t>
            </w:r>
          </w:p>
        </w:tc>
        <w:tc>
          <w:tcPr>
            <w:tcW w:w="1298" w:type="dxa"/>
            <w:vAlign w:val="center"/>
          </w:tcPr>
          <w:p>
            <w:pPr>
              <w:spacing w:line="240" w:lineRule="auto"/>
              <w:jc w:val="center"/>
              <w:rPr>
                <w:rFonts w:ascii="Arial" w:hAnsi="Arial" w:cs="Arial"/>
                <w:szCs w:val="21"/>
              </w:rPr>
            </w:pPr>
            <w:r>
              <w:rPr>
                <w:rFonts w:ascii="Arial" w:hAnsi="Arial" w:cs="Arial"/>
                <w:szCs w:val="21"/>
              </w:rPr>
              <w:t>2</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17</w:t>
            </w:r>
          </w:p>
        </w:tc>
        <w:tc>
          <w:tcPr>
            <w:tcW w:w="1769" w:type="dxa"/>
            <w:vAlign w:val="center"/>
          </w:tcPr>
          <w:p>
            <w:pPr>
              <w:spacing w:line="240" w:lineRule="auto"/>
              <w:jc w:val="center"/>
              <w:rPr>
                <w:rFonts w:ascii="Arial" w:hAnsi="Arial" w:cs="Arial"/>
                <w:szCs w:val="21"/>
              </w:rPr>
            </w:pPr>
            <w:r>
              <w:rPr>
                <w:rFonts w:ascii="Arial" w:hAnsi="Arial" w:cs="Arial"/>
                <w:szCs w:val="21"/>
              </w:rPr>
              <w:t>创新思维训练</w:t>
            </w:r>
          </w:p>
        </w:tc>
        <w:tc>
          <w:tcPr>
            <w:tcW w:w="1298" w:type="dxa"/>
            <w:vAlign w:val="center"/>
          </w:tcPr>
          <w:p>
            <w:pPr>
              <w:spacing w:line="240" w:lineRule="auto"/>
              <w:jc w:val="center"/>
              <w:rPr>
                <w:rFonts w:ascii="Arial" w:hAnsi="Arial" w:cs="Arial"/>
                <w:szCs w:val="21"/>
              </w:rPr>
            </w:pPr>
            <w:r>
              <w:rPr>
                <w:rFonts w:ascii="Arial" w:hAnsi="Arial" w:cs="Arial"/>
                <w:szCs w:val="21"/>
              </w:rPr>
              <w:t>王竹立</w:t>
            </w:r>
          </w:p>
        </w:tc>
        <w:tc>
          <w:tcPr>
            <w:tcW w:w="1737" w:type="dxa"/>
            <w:vAlign w:val="center"/>
          </w:tcPr>
          <w:p>
            <w:pPr>
              <w:spacing w:line="240" w:lineRule="auto"/>
              <w:jc w:val="center"/>
              <w:rPr>
                <w:rFonts w:ascii="Arial" w:hAnsi="Arial" w:cs="Arial"/>
                <w:szCs w:val="21"/>
              </w:rPr>
            </w:pPr>
            <w:r>
              <w:rPr>
                <w:rFonts w:ascii="Arial" w:hAnsi="Arial" w:cs="Arial"/>
                <w:szCs w:val="21"/>
              </w:rPr>
              <w:t>中山大学</w:t>
            </w:r>
          </w:p>
        </w:tc>
        <w:tc>
          <w:tcPr>
            <w:tcW w:w="1298" w:type="dxa"/>
            <w:vAlign w:val="center"/>
          </w:tcPr>
          <w:p>
            <w:pPr>
              <w:spacing w:line="240" w:lineRule="auto"/>
              <w:jc w:val="center"/>
              <w:rPr>
                <w:rFonts w:ascii="Arial" w:hAnsi="Arial" w:cs="Arial"/>
                <w:szCs w:val="21"/>
              </w:rPr>
            </w:pPr>
            <w:r>
              <w:rPr>
                <w:rFonts w:ascii="Arial" w:hAnsi="Arial" w:cs="Arial"/>
                <w:szCs w:val="21"/>
              </w:rPr>
              <w:t>365</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18</w:t>
            </w:r>
          </w:p>
        </w:tc>
        <w:tc>
          <w:tcPr>
            <w:tcW w:w="1769" w:type="dxa"/>
            <w:vAlign w:val="center"/>
          </w:tcPr>
          <w:p>
            <w:pPr>
              <w:spacing w:line="240" w:lineRule="auto"/>
              <w:jc w:val="center"/>
              <w:rPr>
                <w:rFonts w:ascii="Arial" w:hAnsi="Arial" w:cs="Arial"/>
                <w:szCs w:val="21"/>
              </w:rPr>
            </w:pPr>
            <w:r>
              <w:rPr>
                <w:rFonts w:ascii="Arial" w:hAnsi="Arial" w:cs="Arial"/>
                <w:szCs w:val="21"/>
              </w:rPr>
              <w:t>口才艺术与社交礼仪</w:t>
            </w:r>
          </w:p>
        </w:tc>
        <w:tc>
          <w:tcPr>
            <w:tcW w:w="1298" w:type="dxa"/>
            <w:vAlign w:val="center"/>
          </w:tcPr>
          <w:p>
            <w:pPr>
              <w:spacing w:line="240" w:lineRule="auto"/>
              <w:jc w:val="center"/>
              <w:rPr>
                <w:rFonts w:ascii="Arial" w:hAnsi="Arial" w:cs="Arial"/>
                <w:szCs w:val="21"/>
              </w:rPr>
            </w:pPr>
            <w:r>
              <w:rPr>
                <w:rFonts w:ascii="Arial" w:hAnsi="Arial" w:cs="Arial"/>
                <w:szCs w:val="21"/>
              </w:rPr>
              <w:t>艾跃进</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443</w:t>
            </w:r>
          </w:p>
        </w:tc>
        <w:tc>
          <w:tcPr>
            <w:tcW w:w="1298" w:type="dxa"/>
            <w:vAlign w:val="center"/>
          </w:tcPr>
          <w:p>
            <w:pPr>
              <w:spacing w:line="240" w:lineRule="auto"/>
              <w:jc w:val="center"/>
              <w:rPr>
                <w:rFonts w:ascii="Arial" w:hAnsi="Arial" w:cs="Arial"/>
                <w:szCs w:val="21"/>
              </w:rPr>
            </w:pPr>
            <w:r>
              <w:rPr>
                <w:rFonts w:ascii="Arial" w:hAnsi="Arial" w:cs="Arial"/>
                <w:szCs w:val="21"/>
              </w:rPr>
              <w:t>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19</w:t>
            </w:r>
          </w:p>
        </w:tc>
        <w:tc>
          <w:tcPr>
            <w:tcW w:w="1769" w:type="dxa"/>
            <w:vAlign w:val="center"/>
          </w:tcPr>
          <w:p>
            <w:pPr>
              <w:spacing w:line="240" w:lineRule="auto"/>
              <w:jc w:val="center"/>
              <w:rPr>
                <w:rFonts w:ascii="Arial" w:hAnsi="Arial" w:cs="Arial"/>
                <w:szCs w:val="21"/>
              </w:rPr>
            </w:pPr>
            <w:r>
              <w:rPr>
                <w:rFonts w:ascii="Arial" w:hAnsi="Arial" w:cs="Arial"/>
                <w:szCs w:val="21"/>
              </w:rPr>
              <w:t>商业计划书的优化</w:t>
            </w:r>
          </w:p>
        </w:tc>
        <w:tc>
          <w:tcPr>
            <w:tcW w:w="1298" w:type="dxa"/>
            <w:vAlign w:val="center"/>
          </w:tcPr>
          <w:p>
            <w:pPr>
              <w:spacing w:line="240" w:lineRule="auto"/>
              <w:jc w:val="center"/>
              <w:rPr>
                <w:rFonts w:ascii="Arial" w:hAnsi="Arial" w:cs="Arial"/>
                <w:szCs w:val="21"/>
              </w:rPr>
            </w:pPr>
            <w:r>
              <w:rPr>
                <w:rFonts w:ascii="Arial" w:hAnsi="Arial" w:cs="Arial"/>
                <w:szCs w:val="21"/>
              </w:rPr>
              <w:t>陈爱国</w:t>
            </w:r>
          </w:p>
        </w:tc>
        <w:tc>
          <w:tcPr>
            <w:tcW w:w="1737" w:type="dxa"/>
            <w:vAlign w:val="center"/>
          </w:tcPr>
          <w:p>
            <w:pPr>
              <w:spacing w:line="240" w:lineRule="auto"/>
              <w:jc w:val="center"/>
              <w:rPr>
                <w:rFonts w:ascii="Arial" w:hAnsi="Arial" w:cs="Arial"/>
                <w:szCs w:val="21"/>
              </w:rPr>
            </w:pPr>
            <w:r>
              <w:rPr>
                <w:rFonts w:ascii="Arial" w:hAnsi="Arial" w:cs="Arial"/>
                <w:szCs w:val="21"/>
              </w:rPr>
              <w:t>科学技术部火炬高技术产业开发中心</w:t>
            </w:r>
          </w:p>
        </w:tc>
        <w:tc>
          <w:tcPr>
            <w:tcW w:w="1298" w:type="dxa"/>
            <w:vAlign w:val="center"/>
          </w:tcPr>
          <w:p>
            <w:pPr>
              <w:spacing w:line="240" w:lineRule="auto"/>
              <w:jc w:val="center"/>
              <w:rPr>
                <w:rFonts w:ascii="Arial" w:hAnsi="Arial" w:cs="Arial"/>
                <w:szCs w:val="21"/>
              </w:rPr>
            </w:pPr>
            <w:r>
              <w:rPr>
                <w:rFonts w:ascii="Arial" w:hAnsi="Arial" w:cs="Arial"/>
                <w:szCs w:val="21"/>
              </w:rPr>
              <w:t>36</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20</w:t>
            </w:r>
          </w:p>
        </w:tc>
        <w:tc>
          <w:tcPr>
            <w:tcW w:w="1769" w:type="dxa"/>
            <w:vAlign w:val="center"/>
          </w:tcPr>
          <w:p>
            <w:pPr>
              <w:spacing w:line="240" w:lineRule="auto"/>
              <w:jc w:val="center"/>
              <w:rPr>
                <w:rFonts w:ascii="Arial" w:hAnsi="Arial" w:cs="Arial"/>
                <w:szCs w:val="21"/>
              </w:rPr>
            </w:pPr>
            <w:r>
              <w:rPr>
                <w:rFonts w:ascii="Arial" w:hAnsi="Arial" w:cs="Arial"/>
                <w:szCs w:val="21"/>
              </w:rPr>
              <w:t>国学智慧</w:t>
            </w:r>
          </w:p>
        </w:tc>
        <w:tc>
          <w:tcPr>
            <w:tcW w:w="1298" w:type="dxa"/>
            <w:vAlign w:val="center"/>
          </w:tcPr>
          <w:p>
            <w:pPr>
              <w:spacing w:line="240" w:lineRule="auto"/>
              <w:jc w:val="center"/>
              <w:rPr>
                <w:rFonts w:ascii="Arial" w:hAnsi="Arial" w:cs="Arial"/>
                <w:szCs w:val="21"/>
              </w:rPr>
            </w:pPr>
            <w:r>
              <w:rPr>
                <w:rFonts w:ascii="Arial" w:hAnsi="Arial" w:cs="Arial"/>
                <w:szCs w:val="21"/>
              </w:rPr>
              <w:t>曹胜高</w:t>
            </w:r>
          </w:p>
        </w:tc>
        <w:tc>
          <w:tcPr>
            <w:tcW w:w="1737" w:type="dxa"/>
            <w:vAlign w:val="center"/>
          </w:tcPr>
          <w:p>
            <w:pPr>
              <w:spacing w:line="240" w:lineRule="auto"/>
              <w:jc w:val="center"/>
              <w:rPr>
                <w:rFonts w:ascii="Arial" w:hAnsi="Arial" w:cs="Arial"/>
                <w:szCs w:val="21"/>
              </w:rPr>
            </w:pPr>
            <w:r>
              <w:rPr>
                <w:rFonts w:ascii="Arial" w:hAnsi="Arial" w:cs="Arial"/>
                <w:szCs w:val="21"/>
              </w:rPr>
              <w:t>东北师范大学</w:t>
            </w:r>
          </w:p>
        </w:tc>
        <w:tc>
          <w:tcPr>
            <w:tcW w:w="1298" w:type="dxa"/>
            <w:vAlign w:val="center"/>
          </w:tcPr>
          <w:p>
            <w:pPr>
              <w:spacing w:line="240" w:lineRule="auto"/>
              <w:jc w:val="center"/>
              <w:rPr>
                <w:rFonts w:ascii="Arial" w:hAnsi="Arial" w:cs="Arial"/>
                <w:szCs w:val="21"/>
              </w:rPr>
            </w:pPr>
            <w:r>
              <w:rPr>
                <w:rFonts w:ascii="Arial" w:hAnsi="Arial" w:cs="Arial"/>
                <w:szCs w:val="21"/>
              </w:rPr>
              <w:t>5</w:t>
            </w:r>
          </w:p>
        </w:tc>
        <w:tc>
          <w:tcPr>
            <w:tcW w:w="1298" w:type="dxa"/>
            <w:vAlign w:val="center"/>
          </w:tcPr>
          <w:p>
            <w:pPr>
              <w:spacing w:line="240" w:lineRule="auto"/>
              <w:jc w:val="center"/>
              <w:rPr>
                <w:rFonts w:ascii="Arial" w:hAnsi="Arial" w:cs="Arial"/>
                <w:szCs w:val="21"/>
              </w:rPr>
            </w:pPr>
            <w:r>
              <w:rPr>
                <w:rFonts w:ascii="Arial" w:hAnsi="Arial" w:cs="Arial"/>
                <w:szCs w:val="21"/>
              </w:rPr>
              <w:t>32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21</w:t>
            </w:r>
          </w:p>
        </w:tc>
        <w:tc>
          <w:tcPr>
            <w:tcW w:w="1769" w:type="dxa"/>
            <w:vAlign w:val="center"/>
          </w:tcPr>
          <w:p>
            <w:pPr>
              <w:spacing w:line="240" w:lineRule="auto"/>
              <w:jc w:val="center"/>
              <w:rPr>
                <w:rFonts w:ascii="Arial" w:hAnsi="Arial" w:cs="Arial"/>
                <w:szCs w:val="21"/>
              </w:rPr>
            </w:pPr>
            <w:r>
              <w:rPr>
                <w:rFonts w:ascii="Arial" w:hAnsi="Arial" w:cs="Arial"/>
                <w:szCs w:val="21"/>
              </w:rPr>
              <w:t>国际金融</w:t>
            </w:r>
          </w:p>
        </w:tc>
        <w:tc>
          <w:tcPr>
            <w:tcW w:w="1298" w:type="dxa"/>
            <w:vAlign w:val="center"/>
          </w:tcPr>
          <w:p>
            <w:pPr>
              <w:spacing w:line="240" w:lineRule="auto"/>
              <w:jc w:val="center"/>
              <w:rPr>
                <w:rFonts w:ascii="Arial" w:hAnsi="Arial" w:cs="Arial"/>
                <w:szCs w:val="21"/>
              </w:rPr>
            </w:pPr>
            <w:r>
              <w:rPr>
                <w:rFonts w:ascii="Arial" w:hAnsi="Arial" w:cs="Arial"/>
                <w:szCs w:val="21"/>
              </w:rPr>
              <w:t>汪洋 等</w:t>
            </w:r>
          </w:p>
        </w:tc>
        <w:tc>
          <w:tcPr>
            <w:tcW w:w="1737" w:type="dxa"/>
            <w:vAlign w:val="center"/>
          </w:tcPr>
          <w:p>
            <w:pPr>
              <w:spacing w:line="240" w:lineRule="auto"/>
              <w:jc w:val="center"/>
              <w:rPr>
                <w:rFonts w:ascii="Arial" w:hAnsi="Arial" w:cs="Arial"/>
                <w:szCs w:val="21"/>
              </w:rPr>
            </w:pPr>
            <w:r>
              <w:rPr>
                <w:rFonts w:ascii="Arial" w:hAnsi="Arial" w:cs="Arial"/>
                <w:szCs w:val="21"/>
              </w:rPr>
              <w:t>江西财经大学</w:t>
            </w:r>
          </w:p>
        </w:tc>
        <w:tc>
          <w:tcPr>
            <w:tcW w:w="1298" w:type="dxa"/>
            <w:vAlign w:val="center"/>
          </w:tcPr>
          <w:p>
            <w:pPr>
              <w:spacing w:line="240" w:lineRule="auto"/>
              <w:jc w:val="center"/>
              <w:rPr>
                <w:rFonts w:ascii="Arial" w:hAnsi="Arial" w:cs="Arial"/>
                <w:szCs w:val="21"/>
              </w:rPr>
            </w:pPr>
            <w:r>
              <w:rPr>
                <w:rFonts w:ascii="Arial" w:hAnsi="Arial" w:cs="Arial"/>
                <w:szCs w:val="21"/>
              </w:rPr>
              <w:t>6</w:t>
            </w:r>
          </w:p>
        </w:tc>
        <w:tc>
          <w:tcPr>
            <w:tcW w:w="1298" w:type="dxa"/>
            <w:vAlign w:val="center"/>
          </w:tcPr>
          <w:p>
            <w:pPr>
              <w:spacing w:line="240" w:lineRule="auto"/>
              <w:jc w:val="center"/>
              <w:rPr>
                <w:rFonts w:ascii="Arial" w:hAnsi="Arial" w:cs="Arial"/>
                <w:szCs w:val="21"/>
              </w:rPr>
            </w:pPr>
            <w:r>
              <w:rPr>
                <w:rFonts w:ascii="Arial" w:hAnsi="Arial" w:cs="Arial"/>
                <w:szCs w:val="21"/>
              </w:rPr>
              <w:t>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22</w:t>
            </w:r>
          </w:p>
        </w:tc>
        <w:tc>
          <w:tcPr>
            <w:tcW w:w="1769" w:type="dxa"/>
            <w:vAlign w:val="center"/>
          </w:tcPr>
          <w:p>
            <w:pPr>
              <w:spacing w:line="240" w:lineRule="auto"/>
              <w:jc w:val="center"/>
              <w:rPr>
                <w:rFonts w:ascii="Arial" w:hAnsi="Arial" w:cs="Arial"/>
                <w:szCs w:val="21"/>
              </w:rPr>
            </w:pPr>
            <w:r>
              <w:rPr>
                <w:rFonts w:ascii="Arial" w:hAnsi="Arial" w:cs="Arial"/>
                <w:szCs w:val="21"/>
              </w:rPr>
              <w:t>大国崛起：中国对外贸易概论</w:t>
            </w:r>
          </w:p>
        </w:tc>
        <w:tc>
          <w:tcPr>
            <w:tcW w:w="1298" w:type="dxa"/>
            <w:vAlign w:val="center"/>
          </w:tcPr>
          <w:p>
            <w:pPr>
              <w:spacing w:line="240" w:lineRule="auto"/>
              <w:jc w:val="center"/>
              <w:rPr>
                <w:rFonts w:ascii="Arial" w:hAnsi="Arial" w:cs="Arial"/>
                <w:szCs w:val="21"/>
              </w:rPr>
            </w:pPr>
            <w:r>
              <w:rPr>
                <w:rFonts w:ascii="Arial" w:hAnsi="Arial" w:cs="Arial"/>
                <w:szCs w:val="21"/>
              </w:rPr>
              <w:t>苑涛</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3</w:t>
            </w:r>
          </w:p>
        </w:tc>
        <w:tc>
          <w:tcPr>
            <w:tcW w:w="1298" w:type="dxa"/>
            <w:vAlign w:val="center"/>
          </w:tcPr>
          <w:p>
            <w:pPr>
              <w:spacing w:line="240" w:lineRule="auto"/>
              <w:jc w:val="center"/>
              <w:rPr>
                <w:rFonts w:ascii="Arial" w:hAnsi="Arial" w:cs="Arial"/>
                <w:szCs w:val="21"/>
              </w:rPr>
            </w:pPr>
            <w:r>
              <w:rPr>
                <w:rFonts w:ascii="Arial" w:hAnsi="Arial" w:cs="Arial"/>
                <w:szCs w:val="21"/>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23</w:t>
            </w:r>
          </w:p>
        </w:tc>
        <w:tc>
          <w:tcPr>
            <w:tcW w:w="1769" w:type="dxa"/>
            <w:vAlign w:val="center"/>
          </w:tcPr>
          <w:p>
            <w:pPr>
              <w:spacing w:line="240" w:lineRule="auto"/>
              <w:jc w:val="center"/>
              <w:rPr>
                <w:rFonts w:ascii="Arial" w:hAnsi="Arial" w:cs="Arial"/>
                <w:szCs w:val="21"/>
              </w:rPr>
            </w:pPr>
            <w:r>
              <w:rPr>
                <w:rFonts w:ascii="Arial" w:hAnsi="Arial" w:cs="Arial"/>
                <w:szCs w:val="21"/>
              </w:rPr>
              <w:t>大学启示录：如何读大学？</w:t>
            </w:r>
          </w:p>
        </w:tc>
        <w:tc>
          <w:tcPr>
            <w:tcW w:w="1298" w:type="dxa"/>
            <w:vAlign w:val="center"/>
          </w:tcPr>
          <w:p>
            <w:pPr>
              <w:spacing w:line="240" w:lineRule="auto"/>
              <w:jc w:val="center"/>
              <w:rPr>
                <w:rFonts w:ascii="Arial" w:hAnsi="Arial" w:cs="Arial"/>
                <w:szCs w:val="21"/>
              </w:rPr>
            </w:pPr>
            <w:r>
              <w:rPr>
                <w:rFonts w:ascii="Arial" w:hAnsi="Arial" w:cs="Arial"/>
                <w:szCs w:val="21"/>
              </w:rPr>
              <w:t>熊丙奇</w:t>
            </w:r>
          </w:p>
        </w:tc>
        <w:tc>
          <w:tcPr>
            <w:tcW w:w="1737" w:type="dxa"/>
            <w:vAlign w:val="center"/>
          </w:tcPr>
          <w:p>
            <w:pPr>
              <w:spacing w:line="240" w:lineRule="auto"/>
              <w:jc w:val="center"/>
              <w:rPr>
                <w:rFonts w:ascii="Arial" w:hAnsi="Arial" w:cs="Arial"/>
                <w:szCs w:val="21"/>
              </w:rPr>
            </w:pPr>
            <w:r>
              <w:rPr>
                <w:rFonts w:ascii="Arial" w:hAnsi="Arial" w:cs="Arial"/>
                <w:szCs w:val="21"/>
              </w:rPr>
              <w:t>上海交通大学</w:t>
            </w:r>
          </w:p>
        </w:tc>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298" w:type="dxa"/>
            <w:vAlign w:val="center"/>
          </w:tcPr>
          <w:p>
            <w:pPr>
              <w:spacing w:line="240" w:lineRule="auto"/>
              <w:jc w:val="center"/>
              <w:rPr>
                <w:rFonts w:ascii="Arial" w:hAnsi="Arial" w:cs="Arial"/>
                <w:szCs w:val="21"/>
              </w:rPr>
            </w:pPr>
            <w:r>
              <w:rPr>
                <w:rFonts w:ascii="Arial" w:hAnsi="Arial" w:cs="Arial"/>
                <w:szCs w:val="21"/>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24</w:t>
            </w:r>
          </w:p>
        </w:tc>
        <w:tc>
          <w:tcPr>
            <w:tcW w:w="1769" w:type="dxa"/>
            <w:vAlign w:val="center"/>
          </w:tcPr>
          <w:p>
            <w:pPr>
              <w:spacing w:line="240" w:lineRule="auto"/>
              <w:jc w:val="center"/>
              <w:rPr>
                <w:rFonts w:ascii="Arial" w:hAnsi="Arial" w:cs="Arial"/>
                <w:szCs w:val="21"/>
              </w:rPr>
            </w:pPr>
            <w:r>
              <w:rPr>
                <w:rFonts w:ascii="Arial" w:hAnsi="Arial" w:cs="Arial"/>
                <w:szCs w:val="21"/>
              </w:rPr>
              <w:t>大学生公民素质教育</w:t>
            </w:r>
          </w:p>
        </w:tc>
        <w:tc>
          <w:tcPr>
            <w:tcW w:w="1298" w:type="dxa"/>
            <w:vAlign w:val="center"/>
          </w:tcPr>
          <w:p>
            <w:pPr>
              <w:spacing w:line="240" w:lineRule="auto"/>
              <w:jc w:val="center"/>
              <w:rPr>
                <w:rFonts w:ascii="Arial" w:hAnsi="Arial" w:cs="Arial"/>
                <w:szCs w:val="21"/>
              </w:rPr>
            </w:pPr>
            <w:r>
              <w:rPr>
                <w:rFonts w:ascii="Arial" w:hAnsi="Arial" w:cs="Arial"/>
                <w:szCs w:val="21"/>
              </w:rPr>
              <w:t>张绪山 等</w:t>
            </w:r>
          </w:p>
        </w:tc>
        <w:tc>
          <w:tcPr>
            <w:tcW w:w="1737" w:type="dxa"/>
            <w:vAlign w:val="center"/>
          </w:tcPr>
          <w:p>
            <w:pPr>
              <w:spacing w:line="240" w:lineRule="auto"/>
              <w:jc w:val="center"/>
              <w:rPr>
                <w:rFonts w:ascii="Arial" w:hAnsi="Arial" w:cs="Arial"/>
                <w:szCs w:val="21"/>
              </w:rPr>
            </w:pPr>
            <w:r>
              <w:rPr>
                <w:rFonts w:ascii="Arial" w:hAnsi="Arial" w:cs="Arial"/>
                <w:szCs w:val="21"/>
              </w:rPr>
              <w:t>清华大学</w:t>
            </w:r>
          </w:p>
        </w:tc>
        <w:tc>
          <w:tcPr>
            <w:tcW w:w="1298" w:type="dxa"/>
            <w:vAlign w:val="center"/>
          </w:tcPr>
          <w:p>
            <w:pPr>
              <w:spacing w:line="240" w:lineRule="auto"/>
              <w:jc w:val="center"/>
              <w:rPr>
                <w:rFonts w:ascii="Arial" w:hAnsi="Arial" w:cs="Arial"/>
                <w:szCs w:val="21"/>
              </w:rPr>
            </w:pPr>
            <w:r>
              <w:rPr>
                <w:rFonts w:ascii="Arial" w:hAnsi="Arial" w:cs="Arial"/>
                <w:szCs w:val="21"/>
              </w:rPr>
              <w:t>3233</w:t>
            </w:r>
          </w:p>
        </w:tc>
        <w:tc>
          <w:tcPr>
            <w:tcW w:w="1298" w:type="dxa"/>
            <w:vAlign w:val="center"/>
          </w:tcPr>
          <w:p>
            <w:pPr>
              <w:spacing w:line="240" w:lineRule="auto"/>
              <w:jc w:val="center"/>
              <w:rPr>
                <w:rFonts w:ascii="Arial" w:hAnsi="Arial" w:cs="Arial"/>
                <w:szCs w:val="21"/>
              </w:rPr>
            </w:pPr>
            <w:r>
              <w:rPr>
                <w:rFonts w:ascii="Arial" w:hAnsi="Arial" w:cs="Arial"/>
                <w:szCs w:val="21"/>
              </w:rPr>
              <w:t>17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25</w:t>
            </w:r>
          </w:p>
        </w:tc>
        <w:tc>
          <w:tcPr>
            <w:tcW w:w="1769" w:type="dxa"/>
            <w:vAlign w:val="center"/>
          </w:tcPr>
          <w:p>
            <w:pPr>
              <w:spacing w:line="240" w:lineRule="auto"/>
              <w:jc w:val="center"/>
              <w:rPr>
                <w:rFonts w:ascii="Arial" w:hAnsi="Arial" w:cs="Arial"/>
                <w:szCs w:val="21"/>
              </w:rPr>
            </w:pPr>
            <w:r>
              <w:rPr>
                <w:rFonts w:ascii="Arial" w:hAnsi="Arial" w:cs="Arial"/>
                <w:szCs w:val="21"/>
              </w:rPr>
              <w:t>大学生创业基础</w:t>
            </w:r>
          </w:p>
        </w:tc>
        <w:tc>
          <w:tcPr>
            <w:tcW w:w="1298" w:type="dxa"/>
            <w:vAlign w:val="center"/>
          </w:tcPr>
          <w:p>
            <w:pPr>
              <w:spacing w:line="240" w:lineRule="auto"/>
              <w:jc w:val="center"/>
              <w:rPr>
                <w:rFonts w:ascii="Arial" w:hAnsi="Arial" w:cs="Arial"/>
                <w:szCs w:val="21"/>
              </w:rPr>
            </w:pPr>
            <w:r>
              <w:rPr>
                <w:rFonts w:ascii="Arial" w:hAnsi="Arial" w:cs="Arial"/>
                <w:szCs w:val="21"/>
              </w:rPr>
              <w:t>李肖鸣</w:t>
            </w:r>
          </w:p>
        </w:tc>
        <w:tc>
          <w:tcPr>
            <w:tcW w:w="1737" w:type="dxa"/>
            <w:vAlign w:val="center"/>
          </w:tcPr>
          <w:p>
            <w:pPr>
              <w:spacing w:line="240" w:lineRule="auto"/>
              <w:jc w:val="center"/>
              <w:rPr>
                <w:rFonts w:ascii="Arial" w:hAnsi="Arial" w:cs="Arial"/>
                <w:szCs w:val="21"/>
              </w:rPr>
            </w:pPr>
            <w:r>
              <w:rPr>
                <w:rFonts w:ascii="Arial" w:hAnsi="Arial" w:cs="Arial"/>
                <w:szCs w:val="21"/>
              </w:rPr>
              <w:t>清华大学</w:t>
            </w:r>
          </w:p>
        </w:tc>
        <w:tc>
          <w:tcPr>
            <w:tcW w:w="1298" w:type="dxa"/>
            <w:vAlign w:val="center"/>
          </w:tcPr>
          <w:p>
            <w:pPr>
              <w:spacing w:line="240" w:lineRule="auto"/>
              <w:jc w:val="center"/>
              <w:rPr>
                <w:rFonts w:ascii="Arial" w:hAnsi="Arial" w:cs="Arial"/>
                <w:szCs w:val="21"/>
              </w:rPr>
            </w:pPr>
            <w:r>
              <w:rPr>
                <w:rFonts w:ascii="Arial" w:hAnsi="Arial" w:cs="Arial"/>
                <w:szCs w:val="21"/>
              </w:rPr>
              <w:t>1855</w:t>
            </w:r>
          </w:p>
        </w:tc>
        <w:tc>
          <w:tcPr>
            <w:tcW w:w="1298" w:type="dxa"/>
            <w:vAlign w:val="center"/>
          </w:tcPr>
          <w:p>
            <w:pPr>
              <w:spacing w:line="240" w:lineRule="auto"/>
              <w:jc w:val="center"/>
              <w:rPr>
                <w:rFonts w:ascii="Arial" w:hAnsi="Arial" w:cs="Arial"/>
                <w:szCs w:val="21"/>
              </w:rPr>
            </w:pPr>
            <w:r>
              <w:rPr>
                <w:rFonts w:ascii="Arial" w:hAnsi="Arial" w:cs="Arial"/>
                <w:szCs w:val="21"/>
              </w:rPr>
              <w:t>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26</w:t>
            </w:r>
          </w:p>
        </w:tc>
        <w:tc>
          <w:tcPr>
            <w:tcW w:w="1769" w:type="dxa"/>
            <w:vAlign w:val="center"/>
          </w:tcPr>
          <w:p>
            <w:pPr>
              <w:spacing w:line="240" w:lineRule="auto"/>
              <w:jc w:val="center"/>
              <w:rPr>
                <w:rFonts w:ascii="Arial" w:hAnsi="Arial" w:cs="Arial"/>
                <w:szCs w:val="21"/>
              </w:rPr>
            </w:pPr>
            <w:r>
              <w:rPr>
                <w:rFonts w:ascii="Arial" w:hAnsi="Arial" w:cs="Arial"/>
                <w:szCs w:val="21"/>
              </w:rPr>
              <w:t>大学生安全教育（新版）</w:t>
            </w:r>
          </w:p>
        </w:tc>
        <w:tc>
          <w:tcPr>
            <w:tcW w:w="1298" w:type="dxa"/>
            <w:vAlign w:val="center"/>
          </w:tcPr>
          <w:p>
            <w:pPr>
              <w:spacing w:line="240" w:lineRule="auto"/>
              <w:jc w:val="center"/>
              <w:rPr>
                <w:rFonts w:ascii="Arial" w:hAnsi="Arial" w:cs="Arial"/>
                <w:szCs w:val="21"/>
              </w:rPr>
            </w:pPr>
            <w:r>
              <w:rPr>
                <w:rFonts w:ascii="Arial" w:hAnsi="Arial" w:cs="Arial"/>
                <w:szCs w:val="21"/>
              </w:rPr>
              <w:t>王大伟、张国清、石子坚、潘安农、张海燕、张卫星、孙雷、姚武、费国忠、田春崎</w:t>
            </w:r>
          </w:p>
        </w:tc>
        <w:tc>
          <w:tcPr>
            <w:tcW w:w="1737" w:type="dxa"/>
            <w:vAlign w:val="center"/>
          </w:tcPr>
          <w:p>
            <w:pPr>
              <w:spacing w:line="240" w:lineRule="auto"/>
              <w:jc w:val="center"/>
              <w:rPr>
                <w:rFonts w:ascii="Arial" w:hAnsi="Arial" w:cs="Arial"/>
                <w:szCs w:val="21"/>
              </w:rPr>
            </w:pPr>
            <w:r>
              <w:rPr>
                <w:rFonts w:ascii="Arial" w:hAnsi="Arial" w:cs="Arial"/>
                <w:szCs w:val="21"/>
              </w:rPr>
              <w:t>中国人民公安大学、同济大学、上海公安高等专科学校、松江大学城派出所、华东政法大学、上海公安高等专科学校、上海公安高等专科学校、上海交通大学、上海市紧急救护中心、同济大学</w:t>
            </w:r>
          </w:p>
        </w:tc>
        <w:tc>
          <w:tcPr>
            <w:tcW w:w="1298" w:type="dxa"/>
            <w:vAlign w:val="center"/>
          </w:tcPr>
          <w:p>
            <w:pPr>
              <w:spacing w:line="240" w:lineRule="auto"/>
              <w:jc w:val="center"/>
              <w:rPr>
                <w:rFonts w:ascii="Arial" w:hAnsi="Arial" w:cs="Arial"/>
                <w:szCs w:val="21"/>
              </w:rPr>
            </w:pPr>
            <w:r>
              <w:rPr>
                <w:rFonts w:ascii="Arial" w:hAnsi="Arial" w:cs="Arial"/>
                <w:szCs w:val="21"/>
              </w:rPr>
              <w:t>2188</w:t>
            </w:r>
          </w:p>
        </w:tc>
        <w:tc>
          <w:tcPr>
            <w:tcW w:w="1298" w:type="dxa"/>
            <w:vAlign w:val="center"/>
          </w:tcPr>
          <w:p>
            <w:pPr>
              <w:spacing w:line="240" w:lineRule="auto"/>
              <w:jc w:val="center"/>
              <w:rPr>
                <w:rFonts w:ascii="Arial" w:hAnsi="Arial" w:cs="Arial"/>
                <w:szCs w:val="21"/>
              </w:rPr>
            </w:pPr>
            <w:r>
              <w:rPr>
                <w:rFonts w:ascii="Arial" w:hAnsi="Arial" w:cs="Arial"/>
                <w:szCs w:val="21"/>
              </w:rPr>
              <w:t>36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27</w:t>
            </w:r>
          </w:p>
        </w:tc>
        <w:tc>
          <w:tcPr>
            <w:tcW w:w="1769" w:type="dxa"/>
            <w:vAlign w:val="center"/>
          </w:tcPr>
          <w:p>
            <w:pPr>
              <w:spacing w:line="240" w:lineRule="auto"/>
              <w:jc w:val="center"/>
              <w:rPr>
                <w:rFonts w:ascii="Arial" w:hAnsi="Arial" w:cs="Arial"/>
                <w:szCs w:val="21"/>
              </w:rPr>
            </w:pPr>
            <w:r>
              <w:rPr>
                <w:rFonts w:ascii="Arial" w:hAnsi="Arial" w:cs="Arial"/>
                <w:szCs w:val="21"/>
              </w:rPr>
              <w:t>大学生恋爱与性健康</w:t>
            </w:r>
          </w:p>
        </w:tc>
        <w:tc>
          <w:tcPr>
            <w:tcW w:w="1298" w:type="dxa"/>
            <w:vAlign w:val="center"/>
          </w:tcPr>
          <w:p>
            <w:pPr>
              <w:spacing w:line="240" w:lineRule="auto"/>
              <w:jc w:val="center"/>
              <w:rPr>
                <w:rFonts w:ascii="Arial" w:hAnsi="Arial" w:cs="Arial"/>
                <w:szCs w:val="21"/>
              </w:rPr>
            </w:pPr>
            <w:r>
              <w:rPr>
                <w:rFonts w:ascii="Arial" w:hAnsi="Arial" w:cs="Arial"/>
                <w:szCs w:val="21"/>
              </w:rPr>
              <w:t>甄宏丽、李子勋</w:t>
            </w:r>
          </w:p>
        </w:tc>
        <w:tc>
          <w:tcPr>
            <w:tcW w:w="1737" w:type="dxa"/>
            <w:vAlign w:val="center"/>
          </w:tcPr>
          <w:p>
            <w:pPr>
              <w:spacing w:line="240" w:lineRule="auto"/>
              <w:jc w:val="center"/>
              <w:rPr>
                <w:rFonts w:ascii="Arial" w:hAnsi="Arial" w:cs="Arial"/>
                <w:szCs w:val="21"/>
              </w:rPr>
            </w:pPr>
            <w:r>
              <w:rPr>
                <w:rFonts w:ascii="Arial" w:hAnsi="Arial" w:cs="Arial"/>
                <w:szCs w:val="21"/>
              </w:rPr>
              <w:t>中国性学会、中日友好医院</w:t>
            </w:r>
          </w:p>
        </w:tc>
        <w:tc>
          <w:tcPr>
            <w:tcW w:w="1298" w:type="dxa"/>
            <w:vAlign w:val="center"/>
          </w:tcPr>
          <w:p>
            <w:pPr>
              <w:spacing w:line="240" w:lineRule="auto"/>
              <w:jc w:val="center"/>
              <w:rPr>
                <w:rFonts w:ascii="Arial" w:hAnsi="Arial" w:cs="Arial"/>
                <w:szCs w:val="21"/>
              </w:rPr>
            </w:pPr>
            <w:r>
              <w:rPr>
                <w:rFonts w:ascii="Arial" w:hAnsi="Arial" w:cs="Arial"/>
                <w:szCs w:val="21"/>
              </w:rPr>
              <w:t>117</w:t>
            </w:r>
          </w:p>
        </w:tc>
        <w:tc>
          <w:tcPr>
            <w:tcW w:w="1298" w:type="dxa"/>
            <w:vAlign w:val="center"/>
          </w:tcPr>
          <w:p>
            <w:pPr>
              <w:spacing w:line="240" w:lineRule="auto"/>
              <w:jc w:val="center"/>
              <w:rPr>
                <w:rFonts w:ascii="Arial" w:hAnsi="Arial" w:cs="Arial"/>
                <w:szCs w:val="21"/>
              </w:rPr>
            </w:pPr>
            <w:r>
              <w:rPr>
                <w:rFonts w:ascii="Arial" w:hAnsi="Arial" w:cs="Arial"/>
                <w:szCs w:val="21"/>
              </w:rPr>
              <w:t>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28</w:t>
            </w:r>
          </w:p>
        </w:tc>
        <w:tc>
          <w:tcPr>
            <w:tcW w:w="1769" w:type="dxa"/>
            <w:vAlign w:val="center"/>
          </w:tcPr>
          <w:p>
            <w:pPr>
              <w:spacing w:line="240" w:lineRule="auto"/>
              <w:jc w:val="center"/>
              <w:rPr>
                <w:rFonts w:ascii="Arial" w:hAnsi="Arial" w:cs="Arial"/>
                <w:szCs w:val="21"/>
              </w:rPr>
            </w:pPr>
            <w:r>
              <w:rPr>
                <w:rFonts w:ascii="Arial" w:hAnsi="Arial" w:cs="Arial"/>
                <w:szCs w:val="21"/>
              </w:rPr>
              <w:t>大学生魅力讲话实操</w:t>
            </w:r>
          </w:p>
        </w:tc>
        <w:tc>
          <w:tcPr>
            <w:tcW w:w="1298" w:type="dxa"/>
            <w:vAlign w:val="center"/>
          </w:tcPr>
          <w:p>
            <w:pPr>
              <w:spacing w:line="240" w:lineRule="auto"/>
              <w:jc w:val="center"/>
              <w:rPr>
                <w:rFonts w:ascii="Arial" w:hAnsi="Arial" w:cs="Arial"/>
                <w:szCs w:val="21"/>
              </w:rPr>
            </w:pPr>
            <w:r>
              <w:rPr>
                <w:rFonts w:ascii="Arial" w:hAnsi="Arial" w:cs="Arial"/>
                <w:szCs w:val="21"/>
              </w:rPr>
              <w:t>殷亚敏</w:t>
            </w:r>
          </w:p>
        </w:tc>
        <w:tc>
          <w:tcPr>
            <w:tcW w:w="1737" w:type="dxa"/>
            <w:vAlign w:val="center"/>
          </w:tcPr>
          <w:p>
            <w:pPr>
              <w:spacing w:line="240" w:lineRule="auto"/>
              <w:jc w:val="center"/>
              <w:rPr>
                <w:rFonts w:ascii="Arial" w:hAnsi="Arial" w:cs="Arial"/>
                <w:szCs w:val="21"/>
              </w:rPr>
            </w:pPr>
            <w:r>
              <w:rPr>
                <w:rFonts w:ascii="Arial" w:hAnsi="Arial" w:cs="Arial"/>
                <w:szCs w:val="21"/>
              </w:rPr>
              <w:t>中华企管培训网</w:t>
            </w:r>
          </w:p>
        </w:tc>
        <w:tc>
          <w:tcPr>
            <w:tcW w:w="1298" w:type="dxa"/>
            <w:vAlign w:val="center"/>
          </w:tcPr>
          <w:p>
            <w:pPr>
              <w:spacing w:line="240" w:lineRule="auto"/>
              <w:jc w:val="center"/>
              <w:rPr>
                <w:rFonts w:ascii="Arial" w:hAnsi="Arial" w:cs="Arial"/>
                <w:szCs w:val="21"/>
              </w:rPr>
            </w:pPr>
            <w:r>
              <w:rPr>
                <w:rFonts w:ascii="Arial" w:hAnsi="Arial" w:cs="Arial"/>
                <w:szCs w:val="21"/>
              </w:rPr>
              <w:t>23</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29</w:t>
            </w:r>
          </w:p>
        </w:tc>
        <w:tc>
          <w:tcPr>
            <w:tcW w:w="1769" w:type="dxa"/>
            <w:vAlign w:val="center"/>
          </w:tcPr>
          <w:p>
            <w:pPr>
              <w:spacing w:line="240" w:lineRule="auto"/>
              <w:jc w:val="center"/>
              <w:rPr>
                <w:rFonts w:ascii="Arial" w:hAnsi="Arial" w:cs="Arial"/>
                <w:szCs w:val="21"/>
              </w:rPr>
            </w:pPr>
            <w:r>
              <w:rPr>
                <w:rFonts w:ascii="Arial" w:hAnsi="Arial" w:cs="Arial"/>
                <w:szCs w:val="21"/>
              </w:rPr>
              <w:t>女子礼仪</w:t>
            </w:r>
          </w:p>
        </w:tc>
        <w:tc>
          <w:tcPr>
            <w:tcW w:w="1298" w:type="dxa"/>
            <w:vAlign w:val="center"/>
          </w:tcPr>
          <w:p>
            <w:pPr>
              <w:spacing w:line="240" w:lineRule="auto"/>
              <w:jc w:val="center"/>
              <w:rPr>
                <w:rFonts w:ascii="Arial" w:hAnsi="Arial" w:cs="Arial"/>
                <w:szCs w:val="21"/>
              </w:rPr>
            </w:pPr>
            <w:r>
              <w:rPr>
                <w:rFonts w:ascii="Arial" w:hAnsi="Arial" w:cs="Arial"/>
                <w:szCs w:val="21"/>
              </w:rPr>
              <w:t>周季平</w:t>
            </w:r>
          </w:p>
        </w:tc>
        <w:tc>
          <w:tcPr>
            <w:tcW w:w="1737" w:type="dxa"/>
            <w:vAlign w:val="center"/>
          </w:tcPr>
          <w:p>
            <w:pPr>
              <w:spacing w:line="240" w:lineRule="auto"/>
              <w:jc w:val="center"/>
              <w:rPr>
                <w:rFonts w:ascii="Arial" w:hAnsi="Arial" w:cs="Arial"/>
                <w:szCs w:val="21"/>
              </w:rPr>
            </w:pPr>
            <w:r>
              <w:rPr>
                <w:rFonts w:ascii="Arial" w:hAnsi="Arial" w:cs="Arial"/>
                <w:szCs w:val="21"/>
              </w:rPr>
              <w:t>中华女子学院</w:t>
            </w:r>
          </w:p>
        </w:tc>
        <w:tc>
          <w:tcPr>
            <w:tcW w:w="1298" w:type="dxa"/>
            <w:vAlign w:val="center"/>
          </w:tcPr>
          <w:p>
            <w:pPr>
              <w:spacing w:line="240" w:lineRule="auto"/>
              <w:jc w:val="center"/>
              <w:rPr>
                <w:rFonts w:ascii="Arial" w:hAnsi="Arial" w:cs="Arial"/>
                <w:szCs w:val="21"/>
              </w:rPr>
            </w:pPr>
            <w:r>
              <w:rPr>
                <w:rFonts w:ascii="Arial" w:hAnsi="Arial" w:cs="Arial"/>
                <w:szCs w:val="21"/>
              </w:rPr>
              <w:t>36</w:t>
            </w:r>
          </w:p>
        </w:tc>
        <w:tc>
          <w:tcPr>
            <w:tcW w:w="1298" w:type="dxa"/>
            <w:vAlign w:val="center"/>
          </w:tcPr>
          <w:p>
            <w:pPr>
              <w:spacing w:line="240" w:lineRule="auto"/>
              <w:jc w:val="center"/>
              <w:rPr>
                <w:rFonts w:ascii="Arial" w:hAnsi="Arial" w:cs="Arial"/>
                <w:szCs w:val="21"/>
              </w:rPr>
            </w:pPr>
            <w:r>
              <w:rPr>
                <w:rFonts w:ascii="Arial" w:hAnsi="Arial" w:cs="Arial"/>
                <w:szCs w:val="21"/>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30</w:t>
            </w:r>
          </w:p>
        </w:tc>
        <w:tc>
          <w:tcPr>
            <w:tcW w:w="1769" w:type="dxa"/>
            <w:vAlign w:val="center"/>
          </w:tcPr>
          <w:p>
            <w:pPr>
              <w:spacing w:line="240" w:lineRule="auto"/>
              <w:jc w:val="center"/>
              <w:rPr>
                <w:rFonts w:ascii="Arial" w:hAnsi="Arial" w:cs="Arial"/>
                <w:szCs w:val="21"/>
              </w:rPr>
            </w:pPr>
            <w:r>
              <w:rPr>
                <w:rFonts w:ascii="Arial" w:hAnsi="Arial" w:cs="Arial"/>
                <w:szCs w:val="21"/>
              </w:rPr>
              <w:t>如何高效学习</w:t>
            </w:r>
          </w:p>
        </w:tc>
        <w:tc>
          <w:tcPr>
            <w:tcW w:w="1298" w:type="dxa"/>
            <w:vAlign w:val="center"/>
          </w:tcPr>
          <w:p>
            <w:pPr>
              <w:spacing w:line="240" w:lineRule="auto"/>
              <w:jc w:val="center"/>
              <w:rPr>
                <w:rFonts w:ascii="Arial" w:hAnsi="Arial" w:cs="Arial"/>
                <w:szCs w:val="21"/>
              </w:rPr>
            </w:pPr>
            <w:r>
              <w:rPr>
                <w:rFonts w:ascii="Arial" w:hAnsi="Arial" w:cs="Arial"/>
                <w:szCs w:val="21"/>
              </w:rPr>
              <w:t>张志</w:t>
            </w:r>
          </w:p>
        </w:tc>
        <w:tc>
          <w:tcPr>
            <w:tcW w:w="1737" w:type="dxa"/>
            <w:vAlign w:val="center"/>
          </w:tcPr>
          <w:p>
            <w:pPr>
              <w:spacing w:line="240" w:lineRule="auto"/>
              <w:jc w:val="center"/>
              <w:rPr>
                <w:rFonts w:ascii="Arial" w:hAnsi="Arial" w:cs="Arial"/>
                <w:szCs w:val="21"/>
              </w:rPr>
            </w:pPr>
            <w:r>
              <w:rPr>
                <w:rFonts w:ascii="Arial" w:hAnsi="Arial" w:cs="Arial"/>
                <w:szCs w:val="21"/>
              </w:rPr>
              <w:t>武汉工程大学</w:t>
            </w:r>
          </w:p>
        </w:tc>
        <w:tc>
          <w:tcPr>
            <w:tcW w:w="1298" w:type="dxa"/>
            <w:vAlign w:val="center"/>
          </w:tcPr>
          <w:p>
            <w:pPr>
              <w:spacing w:line="240" w:lineRule="auto"/>
              <w:jc w:val="center"/>
              <w:rPr>
                <w:rFonts w:ascii="Arial" w:hAnsi="Arial" w:cs="Arial"/>
                <w:szCs w:val="21"/>
              </w:rPr>
            </w:pPr>
            <w:r>
              <w:rPr>
                <w:rFonts w:ascii="Arial" w:hAnsi="Arial" w:cs="Arial"/>
                <w:szCs w:val="21"/>
              </w:rPr>
              <w:t>220</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31</w:t>
            </w:r>
          </w:p>
        </w:tc>
        <w:tc>
          <w:tcPr>
            <w:tcW w:w="1769" w:type="dxa"/>
            <w:vAlign w:val="center"/>
          </w:tcPr>
          <w:p>
            <w:pPr>
              <w:spacing w:line="240" w:lineRule="auto"/>
              <w:jc w:val="center"/>
              <w:rPr>
                <w:rFonts w:ascii="Arial" w:hAnsi="Arial" w:cs="Arial"/>
                <w:szCs w:val="21"/>
              </w:rPr>
            </w:pPr>
            <w:r>
              <w:rPr>
                <w:rFonts w:ascii="Arial" w:hAnsi="Arial" w:cs="Arial"/>
                <w:szCs w:val="21"/>
              </w:rPr>
              <w:t>宏观经济学</w:t>
            </w:r>
          </w:p>
        </w:tc>
        <w:tc>
          <w:tcPr>
            <w:tcW w:w="1298" w:type="dxa"/>
            <w:vAlign w:val="center"/>
          </w:tcPr>
          <w:p>
            <w:pPr>
              <w:spacing w:line="240" w:lineRule="auto"/>
              <w:jc w:val="center"/>
              <w:rPr>
                <w:rFonts w:ascii="Arial" w:hAnsi="Arial" w:cs="Arial"/>
                <w:szCs w:val="21"/>
              </w:rPr>
            </w:pPr>
            <w:r>
              <w:rPr>
                <w:rFonts w:ascii="Arial" w:hAnsi="Arial" w:cs="Arial"/>
                <w:szCs w:val="21"/>
              </w:rPr>
              <w:t>叶航</w:t>
            </w:r>
          </w:p>
        </w:tc>
        <w:tc>
          <w:tcPr>
            <w:tcW w:w="1737" w:type="dxa"/>
            <w:vAlign w:val="center"/>
          </w:tcPr>
          <w:p>
            <w:pPr>
              <w:spacing w:line="240" w:lineRule="auto"/>
              <w:jc w:val="center"/>
              <w:rPr>
                <w:rFonts w:ascii="Arial" w:hAnsi="Arial" w:cs="Arial"/>
                <w:szCs w:val="21"/>
              </w:rPr>
            </w:pPr>
            <w:r>
              <w:rPr>
                <w:rFonts w:ascii="Arial" w:hAnsi="Arial" w:cs="Arial"/>
                <w:szCs w:val="21"/>
              </w:rPr>
              <w:t>浙江大学</w:t>
            </w:r>
          </w:p>
        </w:tc>
        <w:tc>
          <w:tcPr>
            <w:tcW w:w="1298" w:type="dxa"/>
            <w:vAlign w:val="center"/>
          </w:tcPr>
          <w:p>
            <w:pPr>
              <w:spacing w:line="240" w:lineRule="auto"/>
              <w:jc w:val="center"/>
              <w:rPr>
                <w:rFonts w:ascii="Arial" w:hAnsi="Arial" w:cs="Arial"/>
                <w:szCs w:val="21"/>
              </w:rPr>
            </w:pPr>
            <w:r>
              <w:rPr>
                <w:rFonts w:ascii="Arial" w:hAnsi="Arial" w:cs="Arial"/>
                <w:szCs w:val="21"/>
              </w:rPr>
              <w:t>10</w:t>
            </w:r>
          </w:p>
        </w:tc>
        <w:tc>
          <w:tcPr>
            <w:tcW w:w="1298" w:type="dxa"/>
            <w:vAlign w:val="center"/>
          </w:tcPr>
          <w:p>
            <w:pPr>
              <w:spacing w:line="240" w:lineRule="auto"/>
              <w:jc w:val="center"/>
              <w:rPr>
                <w:rFonts w:ascii="Arial" w:hAnsi="Arial" w:cs="Arial"/>
                <w:szCs w:val="21"/>
              </w:rPr>
            </w:pPr>
            <w:r>
              <w:rPr>
                <w:rFonts w:ascii="Arial" w:hAnsi="Arial" w:cs="Arial"/>
                <w:szCs w:val="21"/>
              </w:rPr>
              <w:t>43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32</w:t>
            </w:r>
          </w:p>
        </w:tc>
        <w:tc>
          <w:tcPr>
            <w:tcW w:w="1769" w:type="dxa"/>
            <w:vAlign w:val="center"/>
          </w:tcPr>
          <w:p>
            <w:pPr>
              <w:spacing w:line="240" w:lineRule="auto"/>
              <w:jc w:val="center"/>
              <w:rPr>
                <w:rFonts w:ascii="Arial" w:hAnsi="Arial" w:cs="Arial"/>
                <w:szCs w:val="21"/>
              </w:rPr>
            </w:pPr>
            <w:r>
              <w:rPr>
                <w:rFonts w:ascii="Arial" w:hAnsi="Arial" w:cs="Arial"/>
                <w:szCs w:val="21"/>
              </w:rPr>
              <w:t>就业指导</w:t>
            </w:r>
          </w:p>
        </w:tc>
        <w:tc>
          <w:tcPr>
            <w:tcW w:w="1298" w:type="dxa"/>
            <w:vAlign w:val="center"/>
          </w:tcPr>
          <w:p>
            <w:pPr>
              <w:spacing w:line="240" w:lineRule="auto"/>
              <w:jc w:val="center"/>
              <w:rPr>
                <w:rFonts w:ascii="Arial" w:hAnsi="Arial" w:cs="Arial"/>
                <w:szCs w:val="21"/>
              </w:rPr>
            </w:pPr>
            <w:r>
              <w:rPr>
                <w:rFonts w:ascii="Arial" w:hAnsi="Arial" w:cs="Arial"/>
                <w:szCs w:val="21"/>
              </w:rPr>
              <w:t>雷五明、雷辉</w:t>
            </w:r>
          </w:p>
        </w:tc>
        <w:tc>
          <w:tcPr>
            <w:tcW w:w="1737" w:type="dxa"/>
            <w:vAlign w:val="center"/>
          </w:tcPr>
          <w:p>
            <w:pPr>
              <w:spacing w:line="240" w:lineRule="auto"/>
              <w:jc w:val="center"/>
              <w:rPr>
                <w:rFonts w:ascii="Arial" w:hAnsi="Arial" w:cs="Arial"/>
                <w:szCs w:val="21"/>
              </w:rPr>
            </w:pPr>
            <w:r>
              <w:rPr>
                <w:rFonts w:ascii="Arial" w:hAnsi="Arial" w:cs="Arial"/>
                <w:szCs w:val="21"/>
              </w:rPr>
              <w:t>武汉理工大学</w:t>
            </w:r>
          </w:p>
        </w:tc>
        <w:tc>
          <w:tcPr>
            <w:tcW w:w="1298" w:type="dxa"/>
            <w:vAlign w:val="center"/>
          </w:tcPr>
          <w:p>
            <w:pPr>
              <w:spacing w:line="240" w:lineRule="auto"/>
              <w:jc w:val="center"/>
              <w:rPr>
                <w:rFonts w:ascii="Arial" w:hAnsi="Arial" w:cs="Arial"/>
                <w:szCs w:val="21"/>
              </w:rPr>
            </w:pPr>
            <w:r>
              <w:rPr>
                <w:rFonts w:ascii="Arial" w:hAnsi="Arial" w:cs="Arial"/>
                <w:szCs w:val="21"/>
              </w:rPr>
              <w:t>10</w:t>
            </w:r>
          </w:p>
        </w:tc>
        <w:tc>
          <w:tcPr>
            <w:tcW w:w="1298" w:type="dxa"/>
            <w:vAlign w:val="center"/>
          </w:tcPr>
          <w:p>
            <w:pPr>
              <w:spacing w:line="240" w:lineRule="auto"/>
              <w:jc w:val="center"/>
              <w:rPr>
                <w:rFonts w:ascii="Arial" w:hAnsi="Arial" w:cs="Arial"/>
                <w:szCs w:val="21"/>
              </w:rPr>
            </w:pPr>
            <w:r>
              <w:rPr>
                <w:rFonts w:ascii="Arial" w:hAnsi="Arial" w:cs="Arial"/>
                <w:szCs w:val="21"/>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33</w:t>
            </w:r>
          </w:p>
        </w:tc>
        <w:tc>
          <w:tcPr>
            <w:tcW w:w="1769" w:type="dxa"/>
            <w:vAlign w:val="center"/>
          </w:tcPr>
          <w:p>
            <w:pPr>
              <w:spacing w:line="240" w:lineRule="auto"/>
              <w:jc w:val="center"/>
              <w:rPr>
                <w:rFonts w:ascii="Arial" w:hAnsi="Arial" w:cs="Arial"/>
                <w:szCs w:val="21"/>
              </w:rPr>
            </w:pPr>
            <w:r>
              <w:rPr>
                <w:rFonts w:ascii="Arial" w:hAnsi="Arial" w:cs="Arial"/>
                <w:szCs w:val="21"/>
              </w:rPr>
              <w:t>市场的力量：中国经济改革之思</w:t>
            </w:r>
          </w:p>
        </w:tc>
        <w:tc>
          <w:tcPr>
            <w:tcW w:w="1298" w:type="dxa"/>
            <w:vAlign w:val="center"/>
          </w:tcPr>
          <w:p>
            <w:pPr>
              <w:spacing w:line="240" w:lineRule="auto"/>
              <w:jc w:val="center"/>
              <w:rPr>
                <w:rFonts w:ascii="Arial" w:hAnsi="Arial" w:cs="Arial"/>
                <w:szCs w:val="21"/>
              </w:rPr>
            </w:pPr>
            <w:r>
              <w:rPr>
                <w:rFonts w:ascii="Arial" w:hAnsi="Arial" w:cs="Arial"/>
                <w:szCs w:val="21"/>
              </w:rPr>
              <w:t>张维迎、陈志武、林毅夫、邓正来    、韦森、茅于轼</w:t>
            </w:r>
          </w:p>
        </w:tc>
        <w:tc>
          <w:tcPr>
            <w:tcW w:w="1737" w:type="dxa"/>
            <w:vAlign w:val="center"/>
          </w:tcPr>
          <w:p>
            <w:pPr>
              <w:spacing w:line="240" w:lineRule="auto"/>
              <w:jc w:val="center"/>
              <w:rPr>
                <w:rFonts w:ascii="Arial" w:hAnsi="Arial" w:cs="Arial"/>
                <w:szCs w:val="21"/>
              </w:rPr>
            </w:pPr>
            <w:r>
              <w:rPr>
                <w:rFonts w:ascii="Arial" w:hAnsi="Arial" w:cs="Arial"/>
                <w:szCs w:val="21"/>
              </w:rPr>
              <w:t>北京大学、耶鲁大学、北京大学、复旦大学、复旦大学、天则经济研究所</w:t>
            </w:r>
          </w:p>
        </w:tc>
        <w:tc>
          <w:tcPr>
            <w:tcW w:w="1298" w:type="dxa"/>
            <w:vAlign w:val="center"/>
          </w:tcPr>
          <w:p>
            <w:pPr>
              <w:spacing w:line="240" w:lineRule="auto"/>
              <w:jc w:val="center"/>
              <w:rPr>
                <w:rFonts w:ascii="Arial" w:hAnsi="Arial" w:cs="Arial"/>
                <w:szCs w:val="21"/>
              </w:rPr>
            </w:pPr>
            <w:r>
              <w:rPr>
                <w:rFonts w:ascii="Arial" w:hAnsi="Arial" w:cs="Arial"/>
                <w:szCs w:val="21"/>
              </w:rPr>
              <w:t>16</w:t>
            </w:r>
          </w:p>
        </w:tc>
        <w:tc>
          <w:tcPr>
            <w:tcW w:w="1298" w:type="dxa"/>
            <w:vAlign w:val="center"/>
          </w:tcPr>
          <w:p>
            <w:pPr>
              <w:spacing w:line="240" w:lineRule="auto"/>
              <w:jc w:val="center"/>
              <w:rPr>
                <w:rFonts w:ascii="Arial" w:hAnsi="Arial" w:cs="Arial"/>
                <w:szCs w:val="21"/>
              </w:rPr>
            </w:pPr>
            <w:r>
              <w:rPr>
                <w:rFonts w:ascii="Arial" w:hAnsi="Arial" w:cs="Arial"/>
                <w:szCs w:val="21"/>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34</w:t>
            </w:r>
          </w:p>
        </w:tc>
        <w:tc>
          <w:tcPr>
            <w:tcW w:w="1769" w:type="dxa"/>
            <w:vAlign w:val="center"/>
          </w:tcPr>
          <w:p>
            <w:pPr>
              <w:spacing w:line="240" w:lineRule="auto"/>
              <w:jc w:val="center"/>
              <w:rPr>
                <w:rFonts w:ascii="Arial" w:hAnsi="Arial" w:cs="Arial"/>
                <w:szCs w:val="21"/>
              </w:rPr>
            </w:pPr>
            <w:r>
              <w:rPr>
                <w:rFonts w:ascii="Arial" w:hAnsi="Arial" w:cs="Arial"/>
                <w:szCs w:val="21"/>
              </w:rPr>
              <w:t>幸福心理学</w:t>
            </w:r>
          </w:p>
        </w:tc>
        <w:tc>
          <w:tcPr>
            <w:tcW w:w="1298" w:type="dxa"/>
            <w:vAlign w:val="center"/>
          </w:tcPr>
          <w:p>
            <w:pPr>
              <w:spacing w:line="240" w:lineRule="auto"/>
              <w:jc w:val="center"/>
              <w:rPr>
                <w:rFonts w:ascii="Arial" w:hAnsi="Arial" w:cs="Arial"/>
                <w:szCs w:val="21"/>
              </w:rPr>
            </w:pPr>
            <w:r>
              <w:rPr>
                <w:rFonts w:ascii="Arial" w:hAnsi="Arial" w:cs="Arial"/>
                <w:szCs w:val="21"/>
              </w:rPr>
              <w:t>费俊峰</w:t>
            </w:r>
          </w:p>
        </w:tc>
        <w:tc>
          <w:tcPr>
            <w:tcW w:w="1737" w:type="dxa"/>
            <w:vAlign w:val="center"/>
          </w:tcPr>
          <w:p>
            <w:pPr>
              <w:spacing w:line="240" w:lineRule="auto"/>
              <w:jc w:val="center"/>
              <w:rPr>
                <w:rFonts w:ascii="Arial" w:hAnsi="Arial" w:cs="Arial"/>
                <w:szCs w:val="21"/>
              </w:rPr>
            </w:pPr>
            <w:r>
              <w:rPr>
                <w:rFonts w:ascii="Arial" w:hAnsi="Arial" w:cs="Arial"/>
                <w:szCs w:val="21"/>
              </w:rPr>
              <w:t>南京大学</w:t>
            </w:r>
          </w:p>
        </w:tc>
        <w:tc>
          <w:tcPr>
            <w:tcW w:w="1298" w:type="dxa"/>
            <w:vAlign w:val="center"/>
          </w:tcPr>
          <w:p>
            <w:pPr>
              <w:spacing w:line="240" w:lineRule="auto"/>
              <w:jc w:val="center"/>
              <w:rPr>
                <w:rFonts w:ascii="Arial" w:hAnsi="Arial" w:cs="Arial"/>
                <w:szCs w:val="21"/>
              </w:rPr>
            </w:pPr>
            <w:r>
              <w:rPr>
                <w:rFonts w:ascii="Arial" w:hAnsi="Arial" w:cs="Arial"/>
                <w:szCs w:val="21"/>
              </w:rPr>
              <w:t>55</w:t>
            </w:r>
          </w:p>
        </w:tc>
        <w:tc>
          <w:tcPr>
            <w:tcW w:w="1298" w:type="dxa"/>
            <w:vAlign w:val="center"/>
          </w:tcPr>
          <w:p>
            <w:pPr>
              <w:spacing w:line="240" w:lineRule="auto"/>
              <w:jc w:val="center"/>
              <w:rPr>
                <w:rFonts w:ascii="Arial" w:hAnsi="Arial" w:cs="Arial"/>
                <w:szCs w:val="21"/>
              </w:rPr>
            </w:pPr>
            <w:r>
              <w:rPr>
                <w:rFonts w:ascii="Arial" w:hAnsi="Arial" w:cs="Arial"/>
                <w:szCs w:val="21"/>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35</w:t>
            </w:r>
          </w:p>
        </w:tc>
        <w:tc>
          <w:tcPr>
            <w:tcW w:w="1769" w:type="dxa"/>
            <w:vAlign w:val="center"/>
          </w:tcPr>
          <w:p>
            <w:pPr>
              <w:spacing w:line="240" w:lineRule="auto"/>
              <w:jc w:val="center"/>
              <w:rPr>
                <w:rFonts w:ascii="Arial" w:hAnsi="Arial" w:cs="Arial"/>
                <w:szCs w:val="21"/>
              </w:rPr>
            </w:pPr>
            <w:r>
              <w:rPr>
                <w:rFonts w:ascii="Arial" w:hAnsi="Arial" w:cs="Arial"/>
                <w:szCs w:val="21"/>
              </w:rPr>
              <w:t>应用文写作</w:t>
            </w:r>
          </w:p>
        </w:tc>
        <w:tc>
          <w:tcPr>
            <w:tcW w:w="1298" w:type="dxa"/>
            <w:vAlign w:val="center"/>
          </w:tcPr>
          <w:p>
            <w:pPr>
              <w:spacing w:line="240" w:lineRule="auto"/>
              <w:jc w:val="center"/>
              <w:rPr>
                <w:rFonts w:ascii="Arial" w:hAnsi="Arial" w:cs="Arial"/>
                <w:szCs w:val="21"/>
              </w:rPr>
            </w:pPr>
            <w:r>
              <w:rPr>
                <w:rFonts w:ascii="Arial" w:hAnsi="Arial" w:cs="Arial"/>
                <w:szCs w:val="21"/>
              </w:rPr>
              <w:t>李大敏</w:t>
            </w:r>
          </w:p>
        </w:tc>
        <w:tc>
          <w:tcPr>
            <w:tcW w:w="1737" w:type="dxa"/>
            <w:vAlign w:val="center"/>
          </w:tcPr>
          <w:p>
            <w:pPr>
              <w:spacing w:line="240" w:lineRule="auto"/>
              <w:jc w:val="center"/>
              <w:rPr>
                <w:rFonts w:ascii="Arial" w:hAnsi="Arial" w:cs="Arial"/>
                <w:szCs w:val="21"/>
              </w:rPr>
            </w:pPr>
            <w:r>
              <w:rPr>
                <w:rFonts w:ascii="Arial" w:hAnsi="Arial" w:cs="Arial"/>
                <w:szCs w:val="21"/>
              </w:rPr>
              <w:t>西安财经学院</w:t>
            </w:r>
          </w:p>
        </w:tc>
        <w:tc>
          <w:tcPr>
            <w:tcW w:w="1298" w:type="dxa"/>
            <w:vAlign w:val="center"/>
          </w:tcPr>
          <w:p>
            <w:pPr>
              <w:spacing w:line="240" w:lineRule="auto"/>
              <w:jc w:val="center"/>
              <w:rPr>
                <w:rFonts w:ascii="Arial" w:hAnsi="Arial" w:cs="Arial"/>
                <w:szCs w:val="21"/>
              </w:rPr>
            </w:pPr>
            <w:r>
              <w:rPr>
                <w:rFonts w:ascii="Arial" w:hAnsi="Arial" w:cs="Arial"/>
                <w:szCs w:val="21"/>
              </w:rPr>
              <w:t>27</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36</w:t>
            </w:r>
          </w:p>
        </w:tc>
        <w:tc>
          <w:tcPr>
            <w:tcW w:w="1769" w:type="dxa"/>
            <w:vAlign w:val="center"/>
          </w:tcPr>
          <w:p>
            <w:pPr>
              <w:spacing w:line="240" w:lineRule="auto"/>
              <w:jc w:val="center"/>
              <w:rPr>
                <w:rFonts w:ascii="Arial" w:hAnsi="Arial" w:cs="Arial"/>
                <w:szCs w:val="21"/>
              </w:rPr>
            </w:pPr>
            <w:r>
              <w:rPr>
                <w:rFonts w:ascii="Arial" w:hAnsi="Arial" w:cs="Arial"/>
                <w:szCs w:val="21"/>
              </w:rPr>
              <w:t>当代中国经济</w:t>
            </w:r>
          </w:p>
        </w:tc>
        <w:tc>
          <w:tcPr>
            <w:tcW w:w="1298" w:type="dxa"/>
            <w:vAlign w:val="center"/>
          </w:tcPr>
          <w:p>
            <w:pPr>
              <w:spacing w:line="240" w:lineRule="auto"/>
              <w:jc w:val="center"/>
              <w:rPr>
                <w:rFonts w:ascii="Arial" w:hAnsi="Arial" w:cs="Arial"/>
                <w:szCs w:val="21"/>
              </w:rPr>
            </w:pPr>
            <w:r>
              <w:rPr>
                <w:rFonts w:ascii="Arial" w:hAnsi="Arial" w:cs="Arial"/>
                <w:szCs w:val="21"/>
              </w:rPr>
              <w:t>陈享光</w:t>
            </w:r>
          </w:p>
        </w:tc>
        <w:tc>
          <w:tcPr>
            <w:tcW w:w="1737" w:type="dxa"/>
            <w:vAlign w:val="center"/>
          </w:tcPr>
          <w:p>
            <w:pPr>
              <w:spacing w:line="240" w:lineRule="auto"/>
              <w:jc w:val="center"/>
              <w:rPr>
                <w:rFonts w:ascii="Arial" w:hAnsi="Arial" w:cs="Arial"/>
                <w:szCs w:val="21"/>
              </w:rPr>
            </w:pPr>
            <w:r>
              <w:rPr>
                <w:rFonts w:ascii="Arial" w:hAnsi="Arial" w:cs="Arial"/>
                <w:szCs w:val="21"/>
              </w:rPr>
              <w:t>中国人民大学</w:t>
            </w:r>
          </w:p>
        </w:tc>
        <w:tc>
          <w:tcPr>
            <w:tcW w:w="1298" w:type="dxa"/>
            <w:vAlign w:val="center"/>
          </w:tcPr>
          <w:p>
            <w:pPr>
              <w:spacing w:line="240" w:lineRule="auto"/>
              <w:jc w:val="center"/>
              <w:rPr>
                <w:rFonts w:ascii="Arial" w:hAnsi="Arial" w:cs="Arial"/>
                <w:szCs w:val="21"/>
              </w:rPr>
            </w:pPr>
            <w:r>
              <w:rPr>
                <w:rFonts w:ascii="Arial" w:hAnsi="Arial" w:cs="Arial"/>
                <w:szCs w:val="21"/>
              </w:rPr>
              <w:t>52</w:t>
            </w:r>
          </w:p>
        </w:tc>
        <w:tc>
          <w:tcPr>
            <w:tcW w:w="1298" w:type="dxa"/>
            <w:vAlign w:val="center"/>
          </w:tcPr>
          <w:p>
            <w:pPr>
              <w:spacing w:line="240" w:lineRule="auto"/>
              <w:jc w:val="center"/>
              <w:rPr>
                <w:rFonts w:ascii="Arial" w:hAnsi="Arial" w:cs="Arial"/>
                <w:szCs w:val="21"/>
              </w:rPr>
            </w:pPr>
            <w:r>
              <w:rPr>
                <w:rFonts w:ascii="Arial" w:hAnsi="Arial" w:cs="Arial"/>
                <w:szCs w:val="21"/>
              </w:rPr>
              <w:t>37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37</w:t>
            </w:r>
          </w:p>
        </w:tc>
        <w:tc>
          <w:tcPr>
            <w:tcW w:w="1769" w:type="dxa"/>
            <w:vAlign w:val="center"/>
          </w:tcPr>
          <w:p>
            <w:pPr>
              <w:spacing w:line="240" w:lineRule="auto"/>
              <w:jc w:val="center"/>
              <w:rPr>
                <w:rFonts w:ascii="Arial" w:hAnsi="Arial" w:cs="Arial"/>
                <w:szCs w:val="21"/>
              </w:rPr>
            </w:pPr>
            <w:r>
              <w:rPr>
                <w:rFonts w:ascii="Arial" w:hAnsi="Arial" w:cs="Arial"/>
                <w:szCs w:val="21"/>
              </w:rPr>
              <w:t>形势与政策（2018年春）</w:t>
            </w:r>
          </w:p>
        </w:tc>
        <w:tc>
          <w:tcPr>
            <w:tcW w:w="1298" w:type="dxa"/>
            <w:vAlign w:val="center"/>
          </w:tcPr>
          <w:p>
            <w:pPr>
              <w:spacing w:line="240" w:lineRule="auto"/>
              <w:jc w:val="center"/>
              <w:rPr>
                <w:rFonts w:ascii="Arial" w:hAnsi="Arial" w:cs="Arial"/>
                <w:szCs w:val="21"/>
              </w:rPr>
            </w:pPr>
            <w:r>
              <w:rPr>
                <w:rFonts w:ascii="Arial" w:hAnsi="Arial" w:cs="Arial"/>
                <w:szCs w:val="21"/>
              </w:rPr>
              <w:t>李松林</w:t>
            </w:r>
          </w:p>
        </w:tc>
        <w:tc>
          <w:tcPr>
            <w:tcW w:w="1737" w:type="dxa"/>
            <w:vAlign w:val="center"/>
          </w:tcPr>
          <w:p>
            <w:pPr>
              <w:spacing w:line="240" w:lineRule="auto"/>
              <w:jc w:val="center"/>
              <w:rPr>
                <w:rFonts w:ascii="Arial" w:hAnsi="Arial" w:cs="Arial"/>
                <w:szCs w:val="21"/>
              </w:rPr>
            </w:pPr>
            <w:r>
              <w:rPr>
                <w:rFonts w:ascii="Arial" w:hAnsi="Arial" w:cs="Arial"/>
                <w:szCs w:val="21"/>
              </w:rPr>
              <w:t>首都师范大学</w:t>
            </w:r>
          </w:p>
        </w:tc>
        <w:tc>
          <w:tcPr>
            <w:tcW w:w="1298" w:type="dxa"/>
            <w:vAlign w:val="center"/>
          </w:tcPr>
          <w:p>
            <w:pPr>
              <w:spacing w:line="240" w:lineRule="auto"/>
              <w:jc w:val="center"/>
              <w:rPr>
                <w:rFonts w:ascii="Arial" w:hAnsi="Arial" w:cs="Arial"/>
                <w:szCs w:val="21"/>
              </w:rPr>
            </w:pPr>
            <w:r>
              <w:rPr>
                <w:rFonts w:ascii="Arial" w:hAnsi="Arial" w:cs="Arial"/>
                <w:szCs w:val="21"/>
              </w:rPr>
              <w:t>2331</w:t>
            </w:r>
          </w:p>
        </w:tc>
        <w:tc>
          <w:tcPr>
            <w:tcW w:w="1298" w:type="dxa"/>
            <w:vAlign w:val="center"/>
          </w:tcPr>
          <w:p>
            <w:pPr>
              <w:spacing w:line="240" w:lineRule="auto"/>
              <w:jc w:val="center"/>
              <w:rPr>
                <w:rFonts w:ascii="Arial" w:hAnsi="Arial" w:cs="Arial"/>
                <w:szCs w:val="21"/>
              </w:rPr>
            </w:pPr>
            <w:r>
              <w:rPr>
                <w:rFonts w:ascii="Arial" w:hAnsi="Arial" w:cs="Arial"/>
                <w:szCs w:val="21"/>
              </w:rPr>
              <w:t>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38</w:t>
            </w:r>
          </w:p>
        </w:tc>
        <w:tc>
          <w:tcPr>
            <w:tcW w:w="1769" w:type="dxa"/>
            <w:vAlign w:val="center"/>
          </w:tcPr>
          <w:p>
            <w:pPr>
              <w:spacing w:line="240" w:lineRule="auto"/>
              <w:jc w:val="center"/>
              <w:rPr>
                <w:rFonts w:ascii="Arial" w:hAnsi="Arial" w:cs="Arial"/>
                <w:szCs w:val="21"/>
              </w:rPr>
            </w:pPr>
            <w:r>
              <w:rPr>
                <w:rFonts w:ascii="Arial" w:hAnsi="Arial" w:cs="Arial"/>
                <w:szCs w:val="21"/>
              </w:rPr>
              <w:t>形象管理</w:t>
            </w:r>
          </w:p>
        </w:tc>
        <w:tc>
          <w:tcPr>
            <w:tcW w:w="1298" w:type="dxa"/>
            <w:vAlign w:val="center"/>
          </w:tcPr>
          <w:p>
            <w:pPr>
              <w:spacing w:line="240" w:lineRule="auto"/>
              <w:jc w:val="center"/>
              <w:rPr>
                <w:rFonts w:ascii="Arial" w:hAnsi="Arial" w:cs="Arial"/>
                <w:szCs w:val="21"/>
              </w:rPr>
            </w:pPr>
            <w:r>
              <w:rPr>
                <w:rFonts w:ascii="Arial" w:hAnsi="Arial" w:cs="Arial"/>
                <w:szCs w:val="21"/>
              </w:rPr>
              <w:t>王红</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90</w:t>
            </w:r>
          </w:p>
        </w:tc>
        <w:tc>
          <w:tcPr>
            <w:tcW w:w="1298" w:type="dxa"/>
            <w:vAlign w:val="center"/>
          </w:tcPr>
          <w:p>
            <w:pPr>
              <w:spacing w:line="240" w:lineRule="auto"/>
              <w:jc w:val="center"/>
              <w:rPr>
                <w:rFonts w:ascii="Arial" w:hAnsi="Arial" w:cs="Arial"/>
                <w:szCs w:val="21"/>
              </w:rPr>
            </w:pPr>
            <w:r>
              <w:rPr>
                <w:rFonts w:ascii="Arial" w:hAnsi="Arial" w:cs="Arial"/>
                <w:szCs w:val="21"/>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39</w:t>
            </w:r>
          </w:p>
        </w:tc>
        <w:tc>
          <w:tcPr>
            <w:tcW w:w="1769" w:type="dxa"/>
            <w:vAlign w:val="center"/>
          </w:tcPr>
          <w:p>
            <w:pPr>
              <w:spacing w:line="240" w:lineRule="auto"/>
              <w:jc w:val="center"/>
              <w:rPr>
                <w:rFonts w:ascii="Arial" w:hAnsi="Arial" w:cs="Arial"/>
                <w:szCs w:val="21"/>
              </w:rPr>
            </w:pPr>
            <w:r>
              <w:rPr>
                <w:rFonts w:ascii="Arial" w:hAnsi="Arial" w:cs="Arial"/>
                <w:szCs w:val="21"/>
              </w:rPr>
              <w:t>影视鉴赏</w:t>
            </w:r>
          </w:p>
        </w:tc>
        <w:tc>
          <w:tcPr>
            <w:tcW w:w="1298" w:type="dxa"/>
            <w:vAlign w:val="center"/>
          </w:tcPr>
          <w:p>
            <w:pPr>
              <w:spacing w:line="240" w:lineRule="auto"/>
              <w:jc w:val="center"/>
              <w:rPr>
                <w:rFonts w:ascii="Arial" w:hAnsi="Arial" w:cs="Arial"/>
                <w:szCs w:val="21"/>
              </w:rPr>
            </w:pPr>
            <w:r>
              <w:rPr>
                <w:rFonts w:ascii="Arial" w:hAnsi="Arial" w:cs="Arial"/>
                <w:szCs w:val="21"/>
              </w:rPr>
              <w:t>陈旭光</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32</w:t>
            </w:r>
          </w:p>
        </w:tc>
        <w:tc>
          <w:tcPr>
            <w:tcW w:w="1298" w:type="dxa"/>
            <w:vAlign w:val="center"/>
          </w:tcPr>
          <w:p>
            <w:pPr>
              <w:spacing w:line="240" w:lineRule="auto"/>
              <w:jc w:val="center"/>
              <w:rPr>
                <w:rFonts w:ascii="Arial" w:hAnsi="Arial" w:cs="Arial"/>
                <w:szCs w:val="21"/>
              </w:rPr>
            </w:pPr>
            <w:r>
              <w:rPr>
                <w:rFonts w:ascii="Arial" w:hAnsi="Arial" w:cs="Arial"/>
                <w:szCs w:val="21"/>
              </w:rPr>
              <w:t>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40</w:t>
            </w:r>
          </w:p>
        </w:tc>
        <w:tc>
          <w:tcPr>
            <w:tcW w:w="1769" w:type="dxa"/>
            <w:vAlign w:val="center"/>
          </w:tcPr>
          <w:p>
            <w:pPr>
              <w:spacing w:line="240" w:lineRule="auto"/>
              <w:jc w:val="center"/>
              <w:rPr>
                <w:rFonts w:ascii="Arial" w:hAnsi="Arial" w:cs="Arial"/>
                <w:szCs w:val="21"/>
              </w:rPr>
            </w:pPr>
            <w:r>
              <w:rPr>
                <w:rFonts w:ascii="Arial" w:hAnsi="Arial" w:cs="Arial"/>
                <w:szCs w:val="21"/>
              </w:rPr>
              <w:t>微观经济学</w:t>
            </w:r>
          </w:p>
        </w:tc>
        <w:tc>
          <w:tcPr>
            <w:tcW w:w="1298" w:type="dxa"/>
            <w:vAlign w:val="center"/>
          </w:tcPr>
          <w:p>
            <w:pPr>
              <w:spacing w:line="240" w:lineRule="auto"/>
              <w:jc w:val="center"/>
              <w:rPr>
                <w:rFonts w:ascii="Arial" w:hAnsi="Arial" w:cs="Arial"/>
                <w:szCs w:val="21"/>
              </w:rPr>
            </w:pPr>
            <w:r>
              <w:rPr>
                <w:rFonts w:ascii="Arial" w:hAnsi="Arial" w:cs="Arial"/>
                <w:szCs w:val="21"/>
              </w:rPr>
              <w:t>史晋川</w:t>
            </w:r>
          </w:p>
        </w:tc>
        <w:tc>
          <w:tcPr>
            <w:tcW w:w="1737" w:type="dxa"/>
            <w:vAlign w:val="center"/>
          </w:tcPr>
          <w:p>
            <w:pPr>
              <w:spacing w:line="240" w:lineRule="auto"/>
              <w:jc w:val="center"/>
              <w:rPr>
                <w:rFonts w:ascii="Arial" w:hAnsi="Arial" w:cs="Arial"/>
                <w:szCs w:val="21"/>
              </w:rPr>
            </w:pPr>
            <w:r>
              <w:rPr>
                <w:rFonts w:ascii="Arial" w:hAnsi="Arial" w:cs="Arial"/>
                <w:szCs w:val="21"/>
              </w:rPr>
              <w:t>浙江大学</w:t>
            </w:r>
          </w:p>
        </w:tc>
        <w:tc>
          <w:tcPr>
            <w:tcW w:w="1298" w:type="dxa"/>
            <w:vAlign w:val="center"/>
          </w:tcPr>
          <w:p>
            <w:pPr>
              <w:spacing w:line="240" w:lineRule="auto"/>
              <w:jc w:val="center"/>
              <w:rPr>
                <w:rFonts w:ascii="Arial" w:hAnsi="Arial" w:cs="Arial"/>
                <w:szCs w:val="21"/>
              </w:rPr>
            </w:pPr>
            <w:r>
              <w:rPr>
                <w:rFonts w:ascii="Arial" w:hAnsi="Arial" w:cs="Arial"/>
                <w:szCs w:val="21"/>
              </w:rPr>
              <w:t>5</w:t>
            </w:r>
          </w:p>
        </w:tc>
        <w:tc>
          <w:tcPr>
            <w:tcW w:w="1298" w:type="dxa"/>
            <w:vAlign w:val="center"/>
          </w:tcPr>
          <w:p>
            <w:pPr>
              <w:spacing w:line="240" w:lineRule="auto"/>
              <w:jc w:val="center"/>
              <w:rPr>
                <w:rFonts w:ascii="Arial" w:hAnsi="Arial" w:cs="Arial"/>
                <w:szCs w:val="21"/>
              </w:rPr>
            </w:pPr>
            <w:r>
              <w:rPr>
                <w:rFonts w:ascii="Arial" w:hAnsi="Arial" w:cs="Arial"/>
                <w:szCs w:val="21"/>
              </w:rPr>
              <w:t>40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41</w:t>
            </w:r>
          </w:p>
        </w:tc>
        <w:tc>
          <w:tcPr>
            <w:tcW w:w="1769" w:type="dxa"/>
            <w:vAlign w:val="center"/>
          </w:tcPr>
          <w:p>
            <w:pPr>
              <w:spacing w:line="240" w:lineRule="auto"/>
              <w:jc w:val="center"/>
              <w:rPr>
                <w:rFonts w:ascii="Arial" w:hAnsi="Arial" w:cs="Arial"/>
                <w:szCs w:val="21"/>
              </w:rPr>
            </w:pPr>
            <w:r>
              <w:rPr>
                <w:rFonts w:ascii="Arial" w:hAnsi="Arial" w:cs="Arial"/>
                <w:szCs w:val="21"/>
              </w:rPr>
              <w:t>心理、行为与文化</w:t>
            </w:r>
          </w:p>
        </w:tc>
        <w:tc>
          <w:tcPr>
            <w:tcW w:w="1298" w:type="dxa"/>
            <w:vAlign w:val="center"/>
          </w:tcPr>
          <w:p>
            <w:pPr>
              <w:spacing w:line="240" w:lineRule="auto"/>
              <w:jc w:val="center"/>
              <w:rPr>
                <w:rFonts w:ascii="Arial" w:hAnsi="Arial" w:cs="Arial"/>
                <w:szCs w:val="21"/>
              </w:rPr>
            </w:pPr>
            <w:r>
              <w:rPr>
                <w:rFonts w:ascii="Arial" w:hAnsi="Arial" w:cs="Arial"/>
                <w:szCs w:val="21"/>
              </w:rPr>
              <w:t>尚会鹏</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43</w:t>
            </w:r>
          </w:p>
        </w:tc>
        <w:tc>
          <w:tcPr>
            <w:tcW w:w="1298" w:type="dxa"/>
            <w:vAlign w:val="center"/>
          </w:tcPr>
          <w:p>
            <w:pPr>
              <w:spacing w:line="240" w:lineRule="auto"/>
              <w:jc w:val="center"/>
              <w:rPr>
                <w:rFonts w:ascii="Arial" w:hAnsi="Arial" w:cs="Arial"/>
                <w:szCs w:val="21"/>
              </w:rPr>
            </w:pPr>
            <w:r>
              <w:rPr>
                <w:rFonts w:ascii="Arial" w:hAnsi="Arial" w:cs="Arial"/>
                <w:szCs w:val="21"/>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42</w:t>
            </w:r>
          </w:p>
        </w:tc>
        <w:tc>
          <w:tcPr>
            <w:tcW w:w="1769" w:type="dxa"/>
            <w:vAlign w:val="center"/>
          </w:tcPr>
          <w:p>
            <w:pPr>
              <w:spacing w:line="240" w:lineRule="auto"/>
              <w:jc w:val="center"/>
              <w:rPr>
                <w:rFonts w:ascii="Arial" w:hAnsi="Arial" w:cs="Arial"/>
                <w:szCs w:val="21"/>
              </w:rPr>
            </w:pPr>
            <w:r>
              <w:rPr>
                <w:rFonts w:ascii="Arial" w:hAnsi="Arial" w:cs="Arial"/>
                <w:szCs w:val="21"/>
              </w:rPr>
              <w:t>情绪管理</w:t>
            </w:r>
          </w:p>
        </w:tc>
        <w:tc>
          <w:tcPr>
            <w:tcW w:w="1298" w:type="dxa"/>
            <w:vAlign w:val="center"/>
          </w:tcPr>
          <w:p>
            <w:pPr>
              <w:spacing w:line="240" w:lineRule="auto"/>
              <w:jc w:val="center"/>
              <w:rPr>
                <w:rFonts w:ascii="Arial" w:hAnsi="Arial" w:cs="Arial"/>
                <w:szCs w:val="21"/>
              </w:rPr>
            </w:pPr>
            <w:r>
              <w:rPr>
                <w:rFonts w:ascii="Arial" w:hAnsi="Arial" w:cs="Arial"/>
                <w:szCs w:val="21"/>
              </w:rPr>
              <w:t>韦庆旺</w:t>
            </w:r>
          </w:p>
        </w:tc>
        <w:tc>
          <w:tcPr>
            <w:tcW w:w="1737" w:type="dxa"/>
            <w:vAlign w:val="center"/>
          </w:tcPr>
          <w:p>
            <w:pPr>
              <w:spacing w:line="240" w:lineRule="auto"/>
              <w:jc w:val="center"/>
              <w:rPr>
                <w:rFonts w:ascii="Arial" w:hAnsi="Arial" w:cs="Arial"/>
                <w:szCs w:val="21"/>
              </w:rPr>
            </w:pPr>
            <w:r>
              <w:rPr>
                <w:rFonts w:ascii="Arial" w:hAnsi="Arial" w:cs="Arial"/>
                <w:szCs w:val="21"/>
              </w:rPr>
              <w:t>中国人民大学</w:t>
            </w:r>
          </w:p>
        </w:tc>
        <w:tc>
          <w:tcPr>
            <w:tcW w:w="1298" w:type="dxa"/>
            <w:vAlign w:val="center"/>
          </w:tcPr>
          <w:p>
            <w:pPr>
              <w:spacing w:line="240" w:lineRule="auto"/>
              <w:jc w:val="center"/>
              <w:rPr>
                <w:rFonts w:ascii="Arial" w:hAnsi="Arial" w:cs="Arial"/>
                <w:szCs w:val="21"/>
              </w:rPr>
            </w:pPr>
            <w:r>
              <w:rPr>
                <w:rFonts w:ascii="Arial" w:hAnsi="Arial" w:cs="Arial"/>
                <w:szCs w:val="21"/>
              </w:rPr>
              <w:t>235</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43</w:t>
            </w:r>
          </w:p>
        </w:tc>
        <w:tc>
          <w:tcPr>
            <w:tcW w:w="1769" w:type="dxa"/>
            <w:vAlign w:val="center"/>
          </w:tcPr>
          <w:p>
            <w:pPr>
              <w:spacing w:line="240" w:lineRule="auto"/>
              <w:jc w:val="center"/>
              <w:rPr>
                <w:rFonts w:ascii="Arial" w:hAnsi="Arial" w:cs="Arial"/>
                <w:szCs w:val="21"/>
              </w:rPr>
            </w:pPr>
            <w:r>
              <w:rPr>
                <w:rFonts w:ascii="Arial" w:hAnsi="Arial" w:cs="Arial"/>
                <w:szCs w:val="21"/>
              </w:rPr>
              <w:t>文化传统与现代文明</w:t>
            </w:r>
          </w:p>
        </w:tc>
        <w:tc>
          <w:tcPr>
            <w:tcW w:w="1298" w:type="dxa"/>
            <w:vAlign w:val="center"/>
          </w:tcPr>
          <w:p>
            <w:pPr>
              <w:spacing w:line="240" w:lineRule="auto"/>
              <w:jc w:val="center"/>
              <w:rPr>
                <w:rFonts w:ascii="Arial" w:hAnsi="Arial" w:cs="Arial"/>
                <w:szCs w:val="21"/>
              </w:rPr>
            </w:pPr>
            <w:r>
              <w:rPr>
                <w:rFonts w:ascii="Arial" w:hAnsi="Arial" w:cs="Arial"/>
                <w:szCs w:val="21"/>
              </w:rPr>
              <w:t>吴相洲</w:t>
            </w:r>
          </w:p>
        </w:tc>
        <w:tc>
          <w:tcPr>
            <w:tcW w:w="1737" w:type="dxa"/>
            <w:vAlign w:val="center"/>
          </w:tcPr>
          <w:p>
            <w:pPr>
              <w:spacing w:line="240" w:lineRule="auto"/>
              <w:jc w:val="center"/>
              <w:rPr>
                <w:rFonts w:ascii="Arial" w:hAnsi="Arial" w:cs="Arial"/>
                <w:szCs w:val="21"/>
              </w:rPr>
            </w:pPr>
            <w:r>
              <w:rPr>
                <w:rFonts w:ascii="Arial" w:hAnsi="Arial" w:cs="Arial"/>
                <w:szCs w:val="21"/>
              </w:rPr>
              <w:t>首都师范大学</w:t>
            </w:r>
          </w:p>
        </w:tc>
        <w:tc>
          <w:tcPr>
            <w:tcW w:w="1298" w:type="dxa"/>
            <w:vAlign w:val="center"/>
          </w:tcPr>
          <w:p>
            <w:pPr>
              <w:spacing w:line="240" w:lineRule="auto"/>
              <w:jc w:val="center"/>
              <w:rPr>
                <w:rFonts w:ascii="Arial" w:hAnsi="Arial" w:cs="Arial"/>
                <w:szCs w:val="21"/>
              </w:rPr>
            </w:pPr>
            <w:r>
              <w:rPr>
                <w:rFonts w:ascii="Arial" w:hAnsi="Arial" w:cs="Arial"/>
                <w:szCs w:val="21"/>
              </w:rPr>
              <w:t>47</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44</w:t>
            </w:r>
          </w:p>
        </w:tc>
        <w:tc>
          <w:tcPr>
            <w:tcW w:w="1769" w:type="dxa"/>
            <w:vAlign w:val="center"/>
          </w:tcPr>
          <w:p>
            <w:pPr>
              <w:spacing w:line="240" w:lineRule="auto"/>
              <w:jc w:val="center"/>
              <w:rPr>
                <w:rFonts w:ascii="Arial" w:hAnsi="Arial" w:cs="Arial"/>
                <w:szCs w:val="21"/>
              </w:rPr>
            </w:pPr>
            <w:r>
              <w:rPr>
                <w:rFonts w:ascii="Arial" w:hAnsi="Arial" w:cs="Arial"/>
                <w:szCs w:val="21"/>
              </w:rPr>
              <w:t>文化遗产概览</w:t>
            </w:r>
          </w:p>
        </w:tc>
        <w:tc>
          <w:tcPr>
            <w:tcW w:w="1298" w:type="dxa"/>
            <w:vAlign w:val="center"/>
          </w:tcPr>
          <w:p>
            <w:pPr>
              <w:spacing w:line="240" w:lineRule="auto"/>
              <w:jc w:val="center"/>
              <w:rPr>
                <w:rFonts w:ascii="Arial" w:hAnsi="Arial" w:cs="Arial"/>
                <w:szCs w:val="21"/>
              </w:rPr>
            </w:pPr>
            <w:r>
              <w:rPr>
                <w:rFonts w:ascii="Arial" w:hAnsi="Arial" w:cs="Arial"/>
                <w:szCs w:val="21"/>
              </w:rPr>
              <w:t>黄松</w:t>
            </w:r>
          </w:p>
        </w:tc>
        <w:tc>
          <w:tcPr>
            <w:tcW w:w="1737" w:type="dxa"/>
            <w:vAlign w:val="center"/>
          </w:tcPr>
          <w:p>
            <w:pPr>
              <w:spacing w:line="240" w:lineRule="auto"/>
              <w:jc w:val="center"/>
              <w:rPr>
                <w:rFonts w:ascii="Arial" w:hAnsi="Arial" w:cs="Arial"/>
                <w:szCs w:val="21"/>
              </w:rPr>
            </w:pPr>
            <w:r>
              <w:rPr>
                <w:rFonts w:ascii="Arial" w:hAnsi="Arial" w:cs="Arial"/>
                <w:szCs w:val="21"/>
              </w:rPr>
              <w:t>同济大学</w:t>
            </w:r>
          </w:p>
        </w:tc>
        <w:tc>
          <w:tcPr>
            <w:tcW w:w="1298" w:type="dxa"/>
            <w:vAlign w:val="center"/>
          </w:tcPr>
          <w:p>
            <w:pPr>
              <w:spacing w:line="240" w:lineRule="auto"/>
              <w:jc w:val="center"/>
              <w:rPr>
                <w:rFonts w:ascii="Arial" w:hAnsi="Arial" w:cs="Arial"/>
                <w:szCs w:val="21"/>
              </w:rPr>
            </w:pPr>
            <w:r>
              <w:rPr>
                <w:rFonts w:ascii="Arial" w:hAnsi="Arial" w:cs="Arial"/>
                <w:szCs w:val="21"/>
              </w:rPr>
              <w:t>11</w:t>
            </w:r>
          </w:p>
        </w:tc>
        <w:tc>
          <w:tcPr>
            <w:tcW w:w="1298" w:type="dxa"/>
            <w:vAlign w:val="center"/>
          </w:tcPr>
          <w:p>
            <w:pPr>
              <w:spacing w:line="240" w:lineRule="auto"/>
              <w:jc w:val="center"/>
              <w:rPr>
                <w:rFonts w:ascii="Arial" w:hAnsi="Arial" w:cs="Arial"/>
                <w:szCs w:val="21"/>
              </w:rPr>
            </w:pPr>
            <w:r>
              <w:rPr>
                <w:rFonts w:ascii="Arial" w:hAnsi="Arial" w:cs="Arial"/>
                <w:szCs w:val="21"/>
              </w:rPr>
              <w:t>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45</w:t>
            </w:r>
          </w:p>
        </w:tc>
        <w:tc>
          <w:tcPr>
            <w:tcW w:w="1769" w:type="dxa"/>
            <w:vAlign w:val="center"/>
          </w:tcPr>
          <w:p>
            <w:pPr>
              <w:spacing w:line="240" w:lineRule="auto"/>
              <w:jc w:val="center"/>
              <w:rPr>
                <w:rFonts w:ascii="Arial" w:hAnsi="Arial" w:cs="Arial"/>
                <w:szCs w:val="21"/>
              </w:rPr>
            </w:pPr>
            <w:r>
              <w:rPr>
                <w:rFonts w:ascii="Arial" w:hAnsi="Arial" w:cs="Arial"/>
                <w:szCs w:val="21"/>
              </w:rPr>
              <w:t>时间管理</w:t>
            </w:r>
          </w:p>
        </w:tc>
        <w:tc>
          <w:tcPr>
            <w:tcW w:w="1298" w:type="dxa"/>
            <w:vAlign w:val="center"/>
          </w:tcPr>
          <w:p>
            <w:pPr>
              <w:spacing w:line="240" w:lineRule="auto"/>
              <w:jc w:val="center"/>
              <w:rPr>
                <w:rFonts w:ascii="Arial" w:hAnsi="Arial" w:cs="Arial"/>
                <w:szCs w:val="21"/>
              </w:rPr>
            </w:pPr>
            <w:r>
              <w:rPr>
                <w:rFonts w:ascii="Arial" w:hAnsi="Arial" w:cs="Arial"/>
                <w:szCs w:val="21"/>
              </w:rPr>
              <w:t>罗钢</w:t>
            </w:r>
          </w:p>
        </w:tc>
        <w:tc>
          <w:tcPr>
            <w:tcW w:w="1737" w:type="dxa"/>
            <w:vAlign w:val="center"/>
          </w:tcPr>
          <w:p>
            <w:pPr>
              <w:spacing w:line="240" w:lineRule="auto"/>
              <w:jc w:val="center"/>
              <w:rPr>
                <w:rFonts w:ascii="Arial" w:hAnsi="Arial" w:cs="Arial"/>
                <w:szCs w:val="21"/>
              </w:rPr>
            </w:pPr>
            <w:r>
              <w:rPr>
                <w:rFonts w:ascii="Arial" w:hAnsi="Arial" w:cs="Arial"/>
                <w:szCs w:val="21"/>
              </w:rPr>
              <w:t>深圳职业技术学院</w:t>
            </w:r>
          </w:p>
        </w:tc>
        <w:tc>
          <w:tcPr>
            <w:tcW w:w="1298" w:type="dxa"/>
            <w:vAlign w:val="center"/>
          </w:tcPr>
          <w:p>
            <w:pPr>
              <w:spacing w:line="240" w:lineRule="auto"/>
              <w:jc w:val="center"/>
              <w:rPr>
                <w:rFonts w:ascii="Arial" w:hAnsi="Arial" w:cs="Arial"/>
                <w:szCs w:val="21"/>
              </w:rPr>
            </w:pPr>
            <w:r>
              <w:rPr>
                <w:rFonts w:ascii="Arial" w:hAnsi="Arial" w:cs="Arial"/>
                <w:szCs w:val="21"/>
              </w:rPr>
              <w:t>114</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46</w:t>
            </w:r>
          </w:p>
        </w:tc>
        <w:tc>
          <w:tcPr>
            <w:tcW w:w="1769" w:type="dxa"/>
            <w:vAlign w:val="center"/>
          </w:tcPr>
          <w:p>
            <w:pPr>
              <w:spacing w:line="240" w:lineRule="auto"/>
              <w:jc w:val="center"/>
              <w:rPr>
                <w:rFonts w:ascii="Arial" w:hAnsi="Arial" w:cs="Arial"/>
                <w:szCs w:val="21"/>
              </w:rPr>
            </w:pPr>
            <w:r>
              <w:rPr>
                <w:rFonts w:ascii="Arial" w:hAnsi="Arial" w:cs="Arial"/>
                <w:szCs w:val="21"/>
              </w:rPr>
              <w:t>有效沟通技巧</w:t>
            </w:r>
          </w:p>
        </w:tc>
        <w:tc>
          <w:tcPr>
            <w:tcW w:w="1298" w:type="dxa"/>
            <w:vAlign w:val="center"/>
          </w:tcPr>
          <w:p>
            <w:pPr>
              <w:spacing w:line="240" w:lineRule="auto"/>
              <w:jc w:val="center"/>
              <w:rPr>
                <w:rFonts w:ascii="Arial" w:hAnsi="Arial" w:cs="Arial"/>
                <w:szCs w:val="21"/>
              </w:rPr>
            </w:pPr>
            <w:r>
              <w:rPr>
                <w:rFonts w:ascii="Arial" w:hAnsi="Arial" w:cs="Arial"/>
                <w:szCs w:val="21"/>
              </w:rPr>
              <w:t>赵永忠</w:t>
            </w:r>
          </w:p>
        </w:tc>
        <w:tc>
          <w:tcPr>
            <w:tcW w:w="1737" w:type="dxa"/>
            <w:vAlign w:val="center"/>
          </w:tcPr>
          <w:p>
            <w:pPr>
              <w:spacing w:line="240" w:lineRule="auto"/>
              <w:jc w:val="center"/>
              <w:rPr>
                <w:rFonts w:ascii="Arial" w:hAnsi="Arial" w:cs="Arial"/>
                <w:szCs w:val="21"/>
              </w:rPr>
            </w:pPr>
            <w:r>
              <w:rPr>
                <w:rFonts w:ascii="Arial" w:hAnsi="Arial" w:cs="Arial"/>
                <w:szCs w:val="21"/>
              </w:rPr>
              <w:t>北京联合大学</w:t>
            </w:r>
          </w:p>
        </w:tc>
        <w:tc>
          <w:tcPr>
            <w:tcW w:w="1298" w:type="dxa"/>
            <w:vAlign w:val="center"/>
          </w:tcPr>
          <w:p>
            <w:pPr>
              <w:spacing w:line="240" w:lineRule="auto"/>
              <w:jc w:val="center"/>
              <w:rPr>
                <w:rFonts w:ascii="Arial" w:hAnsi="Arial" w:cs="Arial"/>
                <w:szCs w:val="21"/>
              </w:rPr>
            </w:pPr>
            <w:r>
              <w:rPr>
                <w:rFonts w:ascii="Arial" w:hAnsi="Arial" w:cs="Arial"/>
                <w:szCs w:val="21"/>
              </w:rPr>
              <w:t>513</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47</w:t>
            </w:r>
          </w:p>
        </w:tc>
        <w:tc>
          <w:tcPr>
            <w:tcW w:w="1769" w:type="dxa"/>
            <w:vAlign w:val="center"/>
          </w:tcPr>
          <w:p>
            <w:pPr>
              <w:spacing w:line="240" w:lineRule="auto"/>
              <w:jc w:val="center"/>
              <w:rPr>
                <w:rFonts w:ascii="Arial" w:hAnsi="Arial" w:cs="Arial"/>
                <w:szCs w:val="21"/>
              </w:rPr>
            </w:pPr>
            <w:r>
              <w:rPr>
                <w:rFonts w:ascii="Arial" w:hAnsi="Arial" w:cs="Arial"/>
                <w:szCs w:val="21"/>
              </w:rPr>
              <w:t>欧洲文明概论</w:t>
            </w:r>
          </w:p>
        </w:tc>
        <w:tc>
          <w:tcPr>
            <w:tcW w:w="1298" w:type="dxa"/>
            <w:vAlign w:val="center"/>
          </w:tcPr>
          <w:p>
            <w:pPr>
              <w:spacing w:line="240" w:lineRule="auto"/>
              <w:jc w:val="center"/>
              <w:rPr>
                <w:rFonts w:ascii="Arial" w:hAnsi="Arial" w:cs="Arial"/>
                <w:szCs w:val="21"/>
              </w:rPr>
            </w:pPr>
            <w:r>
              <w:rPr>
                <w:rFonts w:ascii="Arial" w:hAnsi="Arial" w:cs="Arial"/>
                <w:szCs w:val="21"/>
              </w:rPr>
              <w:t>朱孝远</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7</w:t>
            </w:r>
          </w:p>
        </w:tc>
        <w:tc>
          <w:tcPr>
            <w:tcW w:w="1298" w:type="dxa"/>
            <w:vAlign w:val="center"/>
          </w:tcPr>
          <w:p>
            <w:pPr>
              <w:spacing w:line="240" w:lineRule="auto"/>
              <w:jc w:val="center"/>
              <w:rPr>
                <w:rFonts w:ascii="Arial" w:hAnsi="Arial" w:cs="Arial"/>
                <w:szCs w:val="21"/>
              </w:rPr>
            </w:pPr>
            <w:r>
              <w:rPr>
                <w:rFonts w:ascii="Arial" w:hAnsi="Arial" w:cs="Arial"/>
                <w:szCs w:val="21"/>
              </w:rPr>
              <w:t>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48</w:t>
            </w:r>
          </w:p>
        </w:tc>
        <w:tc>
          <w:tcPr>
            <w:tcW w:w="1769" w:type="dxa"/>
            <w:vAlign w:val="center"/>
          </w:tcPr>
          <w:p>
            <w:pPr>
              <w:spacing w:line="240" w:lineRule="auto"/>
              <w:jc w:val="center"/>
              <w:rPr>
                <w:rFonts w:ascii="Arial" w:hAnsi="Arial" w:cs="Arial"/>
                <w:szCs w:val="21"/>
              </w:rPr>
            </w:pPr>
            <w:r>
              <w:rPr>
                <w:rFonts w:ascii="Arial" w:hAnsi="Arial" w:cs="Arial"/>
                <w:szCs w:val="21"/>
              </w:rPr>
              <w:t>法律基础</w:t>
            </w:r>
          </w:p>
        </w:tc>
        <w:tc>
          <w:tcPr>
            <w:tcW w:w="1298" w:type="dxa"/>
            <w:vAlign w:val="center"/>
          </w:tcPr>
          <w:p>
            <w:pPr>
              <w:spacing w:line="240" w:lineRule="auto"/>
              <w:jc w:val="center"/>
              <w:rPr>
                <w:rFonts w:ascii="Arial" w:hAnsi="Arial" w:cs="Arial"/>
                <w:szCs w:val="21"/>
              </w:rPr>
            </w:pPr>
            <w:r>
              <w:rPr>
                <w:rFonts w:ascii="Arial" w:hAnsi="Arial" w:cs="Arial"/>
                <w:szCs w:val="21"/>
              </w:rPr>
              <w:t>梅传强 等</w:t>
            </w:r>
          </w:p>
        </w:tc>
        <w:tc>
          <w:tcPr>
            <w:tcW w:w="1737" w:type="dxa"/>
            <w:vAlign w:val="center"/>
          </w:tcPr>
          <w:p>
            <w:pPr>
              <w:spacing w:line="240" w:lineRule="auto"/>
              <w:jc w:val="center"/>
              <w:rPr>
                <w:rFonts w:ascii="Arial" w:hAnsi="Arial" w:cs="Arial"/>
                <w:szCs w:val="21"/>
              </w:rPr>
            </w:pPr>
            <w:r>
              <w:rPr>
                <w:rFonts w:ascii="Arial" w:hAnsi="Arial" w:cs="Arial"/>
                <w:szCs w:val="21"/>
              </w:rPr>
              <w:t>西南政法大学</w:t>
            </w:r>
          </w:p>
        </w:tc>
        <w:tc>
          <w:tcPr>
            <w:tcW w:w="1298" w:type="dxa"/>
            <w:vAlign w:val="center"/>
          </w:tcPr>
          <w:p>
            <w:pPr>
              <w:spacing w:line="240" w:lineRule="auto"/>
              <w:jc w:val="center"/>
              <w:rPr>
                <w:rFonts w:ascii="Arial" w:hAnsi="Arial" w:cs="Arial"/>
                <w:szCs w:val="21"/>
              </w:rPr>
            </w:pPr>
            <w:r>
              <w:rPr>
                <w:rFonts w:ascii="Arial" w:hAnsi="Arial" w:cs="Arial"/>
                <w:szCs w:val="21"/>
              </w:rPr>
              <w:t>122</w:t>
            </w:r>
          </w:p>
        </w:tc>
        <w:tc>
          <w:tcPr>
            <w:tcW w:w="1298" w:type="dxa"/>
            <w:vAlign w:val="center"/>
          </w:tcPr>
          <w:p>
            <w:pPr>
              <w:spacing w:line="240" w:lineRule="auto"/>
              <w:jc w:val="center"/>
              <w:rPr>
                <w:rFonts w:ascii="Arial" w:hAnsi="Arial" w:cs="Arial"/>
                <w:szCs w:val="21"/>
              </w:rPr>
            </w:pPr>
            <w:r>
              <w:rPr>
                <w:rFonts w:ascii="Arial" w:hAnsi="Arial" w:cs="Arial"/>
                <w:szCs w:val="21"/>
              </w:rPr>
              <w:t>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49</w:t>
            </w:r>
          </w:p>
        </w:tc>
        <w:tc>
          <w:tcPr>
            <w:tcW w:w="1769" w:type="dxa"/>
            <w:vAlign w:val="center"/>
          </w:tcPr>
          <w:p>
            <w:pPr>
              <w:spacing w:line="240" w:lineRule="auto"/>
              <w:jc w:val="center"/>
              <w:rPr>
                <w:rFonts w:ascii="Arial" w:hAnsi="Arial" w:cs="Arial"/>
                <w:szCs w:val="21"/>
              </w:rPr>
            </w:pPr>
            <w:r>
              <w:rPr>
                <w:rFonts w:ascii="Arial" w:hAnsi="Arial" w:cs="Arial"/>
                <w:szCs w:val="21"/>
              </w:rPr>
              <w:t>现代城市生态与环境学</w:t>
            </w:r>
          </w:p>
        </w:tc>
        <w:tc>
          <w:tcPr>
            <w:tcW w:w="1298" w:type="dxa"/>
            <w:vAlign w:val="center"/>
          </w:tcPr>
          <w:p>
            <w:pPr>
              <w:spacing w:line="240" w:lineRule="auto"/>
              <w:jc w:val="center"/>
              <w:rPr>
                <w:rFonts w:ascii="Arial" w:hAnsi="Arial" w:cs="Arial"/>
                <w:szCs w:val="21"/>
              </w:rPr>
            </w:pPr>
            <w:r>
              <w:rPr>
                <w:rFonts w:ascii="Arial" w:hAnsi="Arial" w:cs="Arial"/>
                <w:szCs w:val="21"/>
              </w:rPr>
              <w:t>李建龙</w:t>
            </w:r>
          </w:p>
        </w:tc>
        <w:tc>
          <w:tcPr>
            <w:tcW w:w="1737" w:type="dxa"/>
            <w:vAlign w:val="center"/>
          </w:tcPr>
          <w:p>
            <w:pPr>
              <w:spacing w:line="240" w:lineRule="auto"/>
              <w:jc w:val="center"/>
              <w:rPr>
                <w:rFonts w:ascii="Arial" w:hAnsi="Arial" w:cs="Arial"/>
                <w:szCs w:val="21"/>
              </w:rPr>
            </w:pPr>
            <w:r>
              <w:rPr>
                <w:rFonts w:ascii="Arial" w:hAnsi="Arial" w:cs="Arial"/>
                <w:szCs w:val="21"/>
              </w:rPr>
              <w:t>南京大学</w:t>
            </w:r>
          </w:p>
        </w:tc>
        <w:tc>
          <w:tcPr>
            <w:tcW w:w="1298" w:type="dxa"/>
            <w:vAlign w:val="center"/>
          </w:tcPr>
          <w:p>
            <w:pPr>
              <w:spacing w:line="240" w:lineRule="auto"/>
              <w:jc w:val="center"/>
              <w:rPr>
                <w:rFonts w:ascii="Arial" w:hAnsi="Arial" w:cs="Arial"/>
                <w:szCs w:val="21"/>
              </w:rPr>
            </w:pPr>
            <w:r>
              <w:rPr>
                <w:rFonts w:ascii="Arial" w:hAnsi="Arial" w:cs="Arial"/>
                <w:szCs w:val="21"/>
              </w:rPr>
              <w:t>6</w:t>
            </w:r>
          </w:p>
        </w:tc>
        <w:tc>
          <w:tcPr>
            <w:tcW w:w="1298" w:type="dxa"/>
            <w:vAlign w:val="center"/>
          </w:tcPr>
          <w:p>
            <w:pPr>
              <w:spacing w:line="240" w:lineRule="auto"/>
              <w:jc w:val="center"/>
              <w:rPr>
                <w:rFonts w:ascii="Arial" w:hAnsi="Arial" w:cs="Arial"/>
                <w:szCs w:val="21"/>
              </w:rPr>
            </w:pPr>
            <w:r>
              <w:rPr>
                <w:rFonts w:ascii="Arial" w:hAnsi="Arial" w:cs="Arial"/>
                <w:szCs w:val="21"/>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50</w:t>
            </w:r>
          </w:p>
        </w:tc>
        <w:tc>
          <w:tcPr>
            <w:tcW w:w="1769" w:type="dxa"/>
            <w:vAlign w:val="center"/>
          </w:tcPr>
          <w:p>
            <w:pPr>
              <w:spacing w:line="240" w:lineRule="auto"/>
              <w:jc w:val="center"/>
              <w:rPr>
                <w:rFonts w:ascii="Arial" w:hAnsi="Arial" w:cs="Arial"/>
                <w:szCs w:val="21"/>
              </w:rPr>
            </w:pPr>
            <w:r>
              <w:rPr>
                <w:rFonts w:ascii="Arial" w:hAnsi="Arial" w:cs="Arial"/>
                <w:szCs w:val="21"/>
              </w:rPr>
              <w:t>生命安全与救援</w:t>
            </w:r>
          </w:p>
        </w:tc>
        <w:tc>
          <w:tcPr>
            <w:tcW w:w="1298" w:type="dxa"/>
            <w:vAlign w:val="center"/>
          </w:tcPr>
          <w:p>
            <w:pPr>
              <w:spacing w:line="240" w:lineRule="auto"/>
              <w:jc w:val="center"/>
              <w:rPr>
                <w:rFonts w:ascii="Arial" w:hAnsi="Arial" w:cs="Arial"/>
                <w:szCs w:val="21"/>
              </w:rPr>
            </w:pPr>
            <w:r>
              <w:rPr>
                <w:rFonts w:ascii="Arial" w:hAnsi="Arial" w:cs="Arial"/>
                <w:szCs w:val="21"/>
              </w:rPr>
              <w:t>姚武</w:t>
            </w:r>
          </w:p>
        </w:tc>
        <w:tc>
          <w:tcPr>
            <w:tcW w:w="1737" w:type="dxa"/>
            <w:vAlign w:val="center"/>
          </w:tcPr>
          <w:p>
            <w:pPr>
              <w:spacing w:line="240" w:lineRule="auto"/>
              <w:jc w:val="center"/>
              <w:rPr>
                <w:rFonts w:ascii="Arial" w:hAnsi="Arial" w:cs="Arial"/>
                <w:szCs w:val="21"/>
              </w:rPr>
            </w:pPr>
            <w:r>
              <w:rPr>
                <w:rFonts w:ascii="Arial" w:hAnsi="Arial" w:cs="Arial"/>
                <w:szCs w:val="21"/>
              </w:rPr>
              <w:t>上海交通大学</w:t>
            </w:r>
          </w:p>
        </w:tc>
        <w:tc>
          <w:tcPr>
            <w:tcW w:w="1298" w:type="dxa"/>
            <w:vAlign w:val="center"/>
          </w:tcPr>
          <w:p>
            <w:pPr>
              <w:spacing w:line="240" w:lineRule="auto"/>
              <w:jc w:val="center"/>
              <w:rPr>
                <w:rFonts w:ascii="Arial" w:hAnsi="Arial" w:cs="Arial"/>
                <w:szCs w:val="21"/>
              </w:rPr>
            </w:pPr>
            <w:r>
              <w:rPr>
                <w:rFonts w:ascii="Arial" w:hAnsi="Arial" w:cs="Arial"/>
                <w:szCs w:val="21"/>
              </w:rPr>
              <w:t>392</w:t>
            </w:r>
          </w:p>
        </w:tc>
        <w:tc>
          <w:tcPr>
            <w:tcW w:w="1298" w:type="dxa"/>
            <w:vAlign w:val="center"/>
          </w:tcPr>
          <w:p>
            <w:pPr>
              <w:spacing w:line="240" w:lineRule="auto"/>
              <w:jc w:val="center"/>
              <w:rPr>
                <w:rFonts w:ascii="Arial" w:hAnsi="Arial" w:cs="Arial"/>
                <w:szCs w:val="21"/>
              </w:rPr>
            </w:pPr>
            <w:r>
              <w:rPr>
                <w:rFonts w:ascii="Arial" w:hAnsi="Arial" w:cs="Arial"/>
                <w:szCs w:val="21"/>
              </w:rPr>
              <w:t>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51</w:t>
            </w:r>
          </w:p>
        </w:tc>
        <w:tc>
          <w:tcPr>
            <w:tcW w:w="1769" w:type="dxa"/>
            <w:vAlign w:val="center"/>
          </w:tcPr>
          <w:p>
            <w:pPr>
              <w:spacing w:line="240" w:lineRule="auto"/>
              <w:jc w:val="center"/>
              <w:rPr>
                <w:rFonts w:ascii="Arial" w:hAnsi="Arial" w:cs="Arial"/>
                <w:szCs w:val="21"/>
              </w:rPr>
            </w:pPr>
            <w:r>
              <w:rPr>
                <w:rFonts w:ascii="Arial" w:hAnsi="Arial" w:cs="Arial"/>
                <w:szCs w:val="21"/>
              </w:rPr>
              <w:t>用相声演绎中国文化</w:t>
            </w:r>
          </w:p>
        </w:tc>
        <w:tc>
          <w:tcPr>
            <w:tcW w:w="1298" w:type="dxa"/>
            <w:vAlign w:val="center"/>
          </w:tcPr>
          <w:p>
            <w:pPr>
              <w:spacing w:line="240" w:lineRule="auto"/>
              <w:jc w:val="center"/>
              <w:rPr>
                <w:rFonts w:ascii="Arial" w:hAnsi="Arial" w:cs="Arial"/>
                <w:szCs w:val="21"/>
              </w:rPr>
            </w:pPr>
            <w:r>
              <w:rPr>
                <w:rFonts w:ascii="Arial" w:hAnsi="Arial" w:cs="Arial"/>
                <w:szCs w:val="21"/>
              </w:rPr>
              <w:t>丁广泉</w:t>
            </w:r>
          </w:p>
        </w:tc>
        <w:tc>
          <w:tcPr>
            <w:tcW w:w="1737" w:type="dxa"/>
            <w:vAlign w:val="center"/>
          </w:tcPr>
          <w:p>
            <w:pPr>
              <w:spacing w:line="240" w:lineRule="auto"/>
              <w:jc w:val="center"/>
              <w:rPr>
                <w:rFonts w:ascii="Arial" w:hAnsi="Arial" w:cs="Arial"/>
                <w:szCs w:val="21"/>
              </w:rPr>
            </w:pPr>
            <w:r>
              <w:rPr>
                <w:rFonts w:ascii="Arial" w:hAnsi="Arial" w:cs="Arial"/>
                <w:szCs w:val="21"/>
              </w:rPr>
              <w:t>中国煤矿文工团</w:t>
            </w:r>
          </w:p>
        </w:tc>
        <w:tc>
          <w:tcPr>
            <w:tcW w:w="1298" w:type="dxa"/>
            <w:vAlign w:val="center"/>
          </w:tcPr>
          <w:p>
            <w:pPr>
              <w:spacing w:line="240" w:lineRule="auto"/>
              <w:jc w:val="center"/>
              <w:rPr>
                <w:rFonts w:ascii="Arial" w:hAnsi="Arial" w:cs="Arial"/>
                <w:szCs w:val="21"/>
              </w:rPr>
            </w:pPr>
            <w:r>
              <w:rPr>
                <w:rFonts w:ascii="Arial" w:hAnsi="Arial" w:cs="Arial"/>
                <w:szCs w:val="21"/>
              </w:rPr>
              <w:t>7</w:t>
            </w:r>
          </w:p>
        </w:tc>
        <w:tc>
          <w:tcPr>
            <w:tcW w:w="1298" w:type="dxa"/>
            <w:vAlign w:val="center"/>
          </w:tcPr>
          <w:p>
            <w:pPr>
              <w:spacing w:line="240" w:lineRule="auto"/>
              <w:jc w:val="center"/>
              <w:rPr>
                <w:rFonts w:ascii="Arial" w:hAnsi="Arial" w:cs="Arial"/>
                <w:szCs w:val="21"/>
              </w:rPr>
            </w:pPr>
            <w:r>
              <w:rPr>
                <w:rFonts w:ascii="Arial" w:hAnsi="Arial" w:cs="Arial"/>
                <w:szCs w:val="21"/>
              </w:rPr>
              <w:t>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52</w:t>
            </w:r>
          </w:p>
        </w:tc>
        <w:tc>
          <w:tcPr>
            <w:tcW w:w="1769" w:type="dxa"/>
            <w:vAlign w:val="center"/>
          </w:tcPr>
          <w:p>
            <w:pPr>
              <w:spacing w:line="240" w:lineRule="auto"/>
              <w:jc w:val="center"/>
              <w:rPr>
                <w:rFonts w:ascii="Arial" w:hAnsi="Arial" w:cs="Arial"/>
                <w:szCs w:val="21"/>
              </w:rPr>
            </w:pPr>
            <w:r>
              <w:rPr>
                <w:rFonts w:ascii="Arial" w:hAnsi="Arial" w:cs="Arial"/>
                <w:szCs w:val="21"/>
              </w:rPr>
              <w:t>社会心理学</w:t>
            </w:r>
          </w:p>
        </w:tc>
        <w:tc>
          <w:tcPr>
            <w:tcW w:w="1298" w:type="dxa"/>
            <w:vAlign w:val="center"/>
          </w:tcPr>
          <w:p>
            <w:pPr>
              <w:spacing w:line="240" w:lineRule="auto"/>
              <w:jc w:val="center"/>
              <w:rPr>
                <w:rFonts w:ascii="Arial" w:hAnsi="Arial" w:cs="Arial"/>
                <w:szCs w:val="21"/>
              </w:rPr>
            </w:pPr>
            <w:r>
              <w:rPr>
                <w:rFonts w:ascii="Arial" w:hAnsi="Arial" w:cs="Arial"/>
                <w:szCs w:val="21"/>
              </w:rPr>
              <w:t>李强 等</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25</w:t>
            </w:r>
          </w:p>
        </w:tc>
        <w:tc>
          <w:tcPr>
            <w:tcW w:w="1298" w:type="dxa"/>
            <w:vAlign w:val="center"/>
          </w:tcPr>
          <w:p>
            <w:pPr>
              <w:spacing w:line="240" w:lineRule="auto"/>
              <w:jc w:val="center"/>
              <w:rPr>
                <w:rFonts w:ascii="Arial" w:hAnsi="Arial" w:cs="Arial"/>
                <w:szCs w:val="21"/>
              </w:rPr>
            </w:pPr>
            <w:r>
              <w:rPr>
                <w:rFonts w:ascii="Arial" w:hAnsi="Arial" w:cs="Arial"/>
                <w:szCs w:val="21"/>
              </w:rPr>
              <w:t>38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53</w:t>
            </w:r>
          </w:p>
        </w:tc>
        <w:tc>
          <w:tcPr>
            <w:tcW w:w="1769" w:type="dxa"/>
            <w:vAlign w:val="center"/>
          </w:tcPr>
          <w:p>
            <w:pPr>
              <w:spacing w:line="240" w:lineRule="auto"/>
              <w:jc w:val="center"/>
              <w:rPr>
                <w:rFonts w:ascii="Arial" w:hAnsi="Arial" w:cs="Arial"/>
                <w:szCs w:val="21"/>
              </w:rPr>
            </w:pPr>
            <w:r>
              <w:rPr>
                <w:rFonts w:ascii="Arial" w:hAnsi="Arial" w:cs="Arial"/>
                <w:szCs w:val="21"/>
              </w:rPr>
              <w:t>移动互联网时代的信息安全与防护</w:t>
            </w:r>
          </w:p>
        </w:tc>
        <w:tc>
          <w:tcPr>
            <w:tcW w:w="1298" w:type="dxa"/>
            <w:vAlign w:val="center"/>
          </w:tcPr>
          <w:p>
            <w:pPr>
              <w:spacing w:line="240" w:lineRule="auto"/>
              <w:jc w:val="center"/>
              <w:rPr>
                <w:rFonts w:ascii="Arial" w:hAnsi="Arial" w:cs="Arial"/>
                <w:szCs w:val="21"/>
              </w:rPr>
            </w:pPr>
            <w:r>
              <w:rPr>
                <w:rFonts w:ascii="Arial" w:hAnsi="Arial" w:cs="Arial"/>
                <w:szCs w:val="21"/>
              </w:rPr>
              <w:t>陈波</w:t>
            </w:r>
          </w:p>
        </w:tc>
        <w:tc>
          <w:tcPr>
            <w:tcW w:w="1737" w:type="dxa"/>
            <w:vAlign w:val="center"/>
          </w:tcPr>
          <w:p>
            <w:pPr>
              <w:spacing w:line="240" w:lineRule="auto"/>
              <w:jc w:val="center"/>
              <w:rPr>
                <w:rFonts w:ascii="Arial" w:hAnsi="Arial" w:cs="Arial"/>
                <w:szCs w:val="21"/>
              </w:rPr>
            </w:pPr>
            <w:r>
              <w:rPr>
                <w:rFonts w:ascii="Arial" w:hAnsi="Arial" w:cs="Arial"/>
                <w:szCs w:val="21"/>
              </w:rPr>
              <w:t>南京师范大学</w:t>
            </w:r>
          </w:p>
        </w:tc>
        <w:tc>
          <w:tcPr>
            <w:tcW w:w="1298" w:type="dxa"/>
            <w:vAlign w:val="center"/>
          </w:tcPr>
          <w:p>
            <w:pPr>
              <w:spacing w:line="240" w:lineRule="auto"/>
              <w:jc w:val="center"/>
              <w:rPr>
                <w:rFonts w:ascii="Arial" w:hAnsi="Arial" w:cs="Arial"/>
                <w:szCs w:val="21"/>
              </w:rPr>
            </w:pPr>
            <w:r>
              <w:rPr>
                <w:rFonts w:ascii="Arial" w:hAnsi="Arial" w:cs="Arial"/>
                <w:szCs w:val="21"/>
              </w:rPr>
              <w:t>26</w:t>
            </w:r>
          </w:p>
        </w:tc>
        <w:tc>
          <w:tcPr>
            <w:tcW w:w="1298" w:type="dxa"/>
            <w:vAlign w:val="center"/>
          </w:tcPr>
          <w:p>
            <w:pPr>
              <w:spacing w:line="240" w:lineRule="auto"/>
              <w:jc w:val="center"/>
              <w:rPr>
                <w:rFonts w:ascii="Arial" w:hAnsi="Arial" w:cs="Arial"/>
                <w:szCs w:val="21"/>
              </w:rPr>
            </w:pPr>
            <w:r>
              <w:rPr>
                <w:rFonts w:ascii="Arial" w:hAnsi="Arial" w:cs="Arial"/>
                <w:szCs w:val="21"/>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54</w:t>
            </w:r>
          </w:p>
        </w:tc>
        <w:tc>
          <w:tcPr>
            <w:tcW w:w="1769" w:type="dxa"/>
            <w:vAlign w:val="center"/>
          </w:tcPr>
          <w:p>
            <w:pPr>
              <w:spacing w:line="240" w:lineRule="auto"/>
              <w:jc w:val="center"/>
              <w:rPr>
                <w:rFonts w:ascii="Arial" w:hAnsi="Arial" w:cs="Arial"/>
                <w:szCs w:val="21"/>
              </w:rPr>
            </w:pPr>
            <w:r>
              <w:rPr>
                <w:rFonts w:ascii="Arial" w:hAnsi="Arial" w:cs="Arial"/>
                <w:szCs w:val="21"/>
              </w:rPr>
              <w:t>穿T恤听古典音乐</w:t>
            </w:r>
          </w:p>
        </w:tc>
        <w:tc>
          <w:tcPr>
            <w:tcW w:w="1298" w:type="dxa"/>
            <w:vAlign w:val="center"/>
          </w:tcPr>
          <w:p>
            <w:pPr>
              <w:spacing w:line="240" w:lineRule="auto"/>
              <w:jc w:val="center"/>
              <w:rPr>
                <w:rFonts w:ascii="Arial" w:hAnsi="Arial" w:cs="Arial"/>
                <w:szCs w:val="21"/>
              </w:rPr>
            </w:pPr>
            <w:r>
              <w:rPr>
                <w:rFonts w:ascii="Arial" w:hAnsi="Arial" w:cs="Arial"/>
                <w:szCs w:val="21"/>
              </w:rPr>
              <w:t>田艺苗</w:t>
            </w:r>
          </w:p>
        </w:tc>
        <w:tc>
          <w:tcPr>
            <w:tcW w:w="1737" w:type="dxa"/>
            <w:vAlign w:val="center"/>
          </w:tcPr>
          <w:p>
            <w:pPr>
              <w:spacing w:line="240" w:lineRule="auto"/>
              <w:jc w:val="center"/>
              <w:rPr>
                <w:rFonts w:ascii="Arial" w:hAnsi="Arial" w:cs="Arial"/>
                <w:szCs w:val="21"/>
              </w:rPr>
            </w:pPr>
            <w:r>
              <w:rPr>
                <w:rFonts w:ascii="Arial" w:hAnsi="Arial" w:cs="Arial"/>
                <w:szCs w:val="21"/>
              </w:rPr>
              <w:t>上海音乐学院</w:t>
            </w:r>
          </w:p>
        </w:tc>
        <w:tc>
          <w:tcPr>
            <w:tcW w:w="1298" w:type="dxa"/>
            <w:vAlign w:val="center"/>
          </w:tcPr>
          <w:p>
            <w:pPr>
              <w:spacing w:line="240" w:lineRule="auto"/>
              <w:jc w:val="center"/>
              <w:rPr>
                <w:rFonts w:ascii="Arial" w:hAnsi="Arial" w:cs="Arial"/>
                <w:szCs w:val="21"/>
              </w:rPr>
            </w:pPr>
            <w:r>
              <w:rPr>
                <w:rFonts w:ascii="Arial" w:hAnsi="Arial" w:cs="Arial"/>
                <w:szCs w:val="21"/>
              </w:rPr>
              <w:t>59</w:t>
            </w:r>
          </w:p>
        </w:tc>
        <w:tc>
          <w:tcPr>
            <w:tcW w:w="1298" w:type="dxa"/>
            <w:vAlign w:val="center"/>
          </w:tcPr>
          <w:p>
            <w:pPr>
              <w:spacing w:line="240" w:lineRule="auto"/>
              <w:jc w:val="center"/>
              <w:rPr>
                <w:rFonts w:ascii="Arial" w:hAnsi="Arial" w:cs="Arial"/>
                <w:szCs w:val="21"/>
              </w:rPr>
            </w:pPr>
            <w:r>
              <w:rPr>
                <w:rFonts w:ascii="Arial" w:hAnsi="Arial" w:cs="Arial"/>
                <w:szCs w:val="21"/>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55</w:t>
            </w:r>
          </w:p>
        </w:tc>
        <w:tc>
          <w:tcPr>
            <w:tcW w:w="1769" w:type="dxa"/>
            <w:vAlign w:val="center"/>
          </w:tcPr>
          <w:p>
            <w:pPr>
              <w:spacing w:line="240" w:lineRule="auto"/>
              <w:jc w:val="center"/>
              <w:rPr>
                <w:rFonts w:ascii="Arial" w:hAnsi="Arial" w:cs="Arial"/>
                <w:szCs w:val="21"/>
              </w:rPr>
            </w:pPr>
            <w:r>
              <w:rPr>
                <w:rFonts w:ascii="Arial" w:hAnsi="Arial" w:cs="Arial"/>
                <w:szCs w:val="21"/>
              </w:rPr>
              <w:t>突发事件及自救互救</w:t>
            </w:r>
          </w:p>
        </w:tc>
        <w:tc>
          <w:tcPr>
            <w:tcW w:w="1298" w:type="dxa"/>
            <w:vAlign w:val="center"/>
          </w:tcPr>
          <w:p>
            <w:pPr>
              <w:spacing w:line="240" w:lineRule="auto"/>
              <w:jc w:val="center"/>
              <w:rPr>
                <w:rFonts w:ascii="Arial" w:hAnsi="Arial" w:cs="Arial"/>
                <w:szCs w:val="21"/>
              </w:rPr>
            </w:pPr>
            <w:r>
              <w:rPr>
                <w:rFonts w:ascii="Arial" w:hAnsi="Arial" w:cs="Arial"/>
                <w:szCs w:val="21"/>
              </w:rPr>
              <w:t>费国忠</w:t>
            </w:r>
          </w:p>
        </w:tc>
        <w:tc>
          <w:tcPr>
            <w:tcW w:w="1737" w:type="dxa"/>
            <w:vAlign w:val="center"/>
          </w:tcPr>
          <w:p>
            <w:pPr>
              <w:spacing w:line="240" w:lineRule="auto"/>
              <w:jc w:val="center"/>
              <w:rPr>
                <w:rFonts w:ascii="Arial" w:hAnsi="Arial" w:cs="Arial"/>
                <w:szCs w:val="21"/>
              </w:rPr>
            </w:pPr>
            <w:r>
              <w:rPr>
                <w:rFonts w:ascii="Arial" w:hAnsi="Arial" w:cs="Arial"/>
                <w:szCs w:val="21"/>
              </w:rPr>
              <w:t>上海市医疗急救中心</w:t>
            </w:r>
          </w:p>
        </w:tc>
        <w:tc>
          <w:tcPr>
            <w:tcW w:w="1298" w:type="dxa"/>
            <w:vAlign w:val="center"/>
          </w:tcPr>
          <w:p>
            <w:pPr>
              <w:spacing w:line="240" w:lineRule="auto"/>
              <w:jc w:val="center"/>
              <w:rPr>
                <w:rFonts w:ascii="Arial" w:hAnsi="Arial" w:cs="Arial"/>
                <w:szCs w:val="21"/>
              </w:rPr>
            </w:pPr>
            <w:r>
              <w:rPr>
                <w:rFonts w:ascii="Arial" w:hAnsi="Arial" w:cs="Arial"/>
                <w:szCs w:val="21"/>
              </w:rPr>
              <w:t>418</w:t>
            </w:r>
          </w:p>
        </w:tc>
        <w:tc>
          <w:tcPr>
            <w:tcW w:w="1298" w:type="dxa"/>
            <w:vAlign w:val="center"/>
          </w:tcPr>
          <w:p>
            <w:pPr>
              <w:spacing w:line="240" w:lineRule="auto"/>
              <w:jc w:val="center"/>
              <w:rPr>
                <w:rFonts w:ascii="Arial" w:hAnsi="Arial" w:cs="Arial"/>
                <w:szCs w:val="21"/>
              </w:rPr>
            </w:pPr>
            <w:r>
              <w:rPr>
                <w:rFonts w:ascii="Arial" w:hAnsi="Arial" w:cs="Arial"/>
                <w:szCs w:val="21"/>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56</w:t>
            </w:r>
          </w:p>
        </w:tc>
        <w:tc>
          <w:tcPr>
            <w:tcW w:w="1769" w:type="dxa"/>
            <w:vAlign w:val="center"/>
          </w:tcPr>
          <w:p>
            <w:pPr>
              <w:spacing w:line="240" w:lineRule="auto"/>
              <w:jc w:val="center"/>
              <w:rPr>
                <w:rFonts w:ascii="Arial" w:hAnsi="Arial" w:cs="Arial"/>
                <w:szCs w:val="21"/>
              </w:rPr>
            </w:pPr>
            <w:r>
              <w:rPr>
                <w:rFonts w:ascii="Arial" w:hAnsi="Arial" w:cs="Arial"/>
                <w:szCs w:val="21"/>
              </w:rPr>
              <w:t>管理学精要</w:t>
            </w:r>
          </w:p>
        </w:tc>
        <w:tc>
          <w:tcPr>
            <w:tcW w:w="1298" w:type="dxa"/>
            <w:vAlign w:val="center"/>
          </w:tcPr>
          <w:p>
            <w:pPr>
              <w:spacing w:line="240" w:lineRule="auto"/>
              <w:jc w:val="center"/>
              <w:rPr>
                <w:rFonts w:ascii="Arial" w:hAnsi="Arial" w:cs="Arial"/>
                <w:szCs w:val="21"/>
              </w:rPr>
            </w:pPr>
            <w:r>
              <w:rPr>
                <w:rFonts w:ascii="Arial" w:hAnsi="Arial" w:cs="Arial"/>
                <w:szCs w:val="21"/>
              </w:rPr>
              <w:t>邢以群</w:t>
            </w:r>
          </w:p>
        </w:tc>
        <w:tc>
          <w:tcPr>
            <w:tcW w:w="1737" w:type="dxa"/>
            <w:vAlign w:val="center"/>
          </w:tcPr>
          <w:p>
            <w:pPr>
              <w:spacing w:line="240" w:lineRule="auto"/>
              <w:jc w:val="center"/>
              <w:rPr>
                <w:rFonts w:ascii="Arial" w:hAnsi="Arial" w:cs="Arial"/>
                <w:szCs w:val="21"/>
              </w:rPr>
            </w:pPr>
            <w:r>
              <w:rPr>
                <w:rFonts w:ascii="Arial" w:hAnsi="Arial" w:cs="Arial"/>
                <w:szCs w:val="21"/>
              </w:rPr>
              <w:t>浙江大学</w:t>
            </w:r>
          </w:p>
        </w:tc>
        <w:tc>
          <w:tcPr>
            <w:tcW w:w="1298" w:type="dxa"/>
            <w:vAlign w:val="center"/>
          </w:tcPr>
          <w:p>
            <w:pPr>
              <w:spacing w:line="240" w:lineRule="auto"/>
              <w:jc w:val="center"/>
              <w:rPr>
                <w:rFonts w:ascii="Arial" w:hAnsi="Arial" w:cs="Arial"/>
                <w:szCs w:val="21"/>
              </w:rPr>
            </w:pPr>
            <w:r>
              <w:rPr>
                <w:rFonts w:ascii="Arial" w:hAnsi="Arial" w:cs="Arial"/>
                <w:szCs w:val="21"/>
              </w:rPr>
              <w:t>42</w:t>
            </w:r>
          </w:p>
        </w:tc>
        <w:tc>
          <w:tcPr>
            <w:tcW w:w="1298" w:type="dxa"/>
            <w:vAlign w:val="center"/>
          </w:tcPr>
          <w:p>
            <w:pPr>
              <w:spacing w:line="240" w:lineRule="auto"/>
              <w:jc w:val="center"/>
              <w:rPr>
                <w:rFonts w:ascii="Arial" w:hAnsi="Arial" w:cs="Arial"/>
                <w:szCs w:val="21"/>
              </w:rPr>
            </w:pPr>
            <w:r>
              <w:rPr>
                <w:rFonts w:ascii="Arial" w:hAnsi="Arial" w:cs="Arial"/>
                <w:szCs w:val="21"/>
              </w:rPr>
              <w:t>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57</w:t>
            </w:r>
          </w:p>
        </w:tc>
        <w:tc>
          <w:tcPr>
            <w:tcW w:w="1769" w:type="dxa"/>
            <w:vAlign w:val="center"/>
          </w:tcPr>
          <w:p>
            <w:pPr>
              <w:spacing w:line="240" w:lineRule="auto"/>
              <w:jc w:val="center"/>
              <w:rPr>
                <w:rFonts w:ascii="Arial" w:hAnsi="Arial" w:cs="Arial"/>
                <w:szCs w:val="21"/>
              </w:rPr>
            </w:pPr>
            <w:r>
              <w:rPr>
                <w:rFonts w:ascii="Arial" w:hAnsi="Arial" w:cs="Arial"/>
                <w:szCs w:val="21"/>
              </w:rPr>
              <w:t>美学原理</w:t>
            </w:r>
          </w:p>
        </w:tc>
        <w:tc>
          <w:tcPr>
            <w:tcW w:w="1298" w:type="dxa"/>
            <w:vAlign w:val="center"/>
          </w:tcPr>
          <w:p>
            <w:pPr>
              <w:spacing w:line="240" w:lineRule="auto"/>
              <w:jc w:val="center"/>
              <w:rPr>
                <w:rFonts w:ascii="Arial" w:hAnsi="Arial" w:cs="Arial"/>
                <w:szCs w:val="21"/>
              </w:rPr>
            </w:pPr>
            <w:r>
              <w:rPr>
                <w:rFonts w:ascii="Arial" w:hAnsi="Arial" w:cs="Arial"/>
                <w:szCs w:val="21"/>
              </w:rPr>
              <w:t>叶 朗</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10</w:t>
            </w:r>
          </w:p>
        </w:tc>
        <w:tc>
          <w:tcPr>
            <w:tcW w:w="1298" w:type="dxa"/>
            <w:vAlign w:val="center"/>
          </w:tcPr>
          <w:p>
            <w:pPr>
              <w:spacing w:line="240" w:lineRule="auto"/>
              <w:jc w:val="center"/>
              <w:rPr>
                <w:rFonts w:ascii="Arial" w:hAnsi="Arial" w:cs="Arial"/>
                <w:szCs w:val="21"/>
              </w:rPr>
            </w:pPr>
            <w:r>
              <w:rPr>
                <w:rFonts w:ascii="Arial" w:hAnsi="Arial" w:cs="Arial"/>
                <w:szCs w:val="21"/>
              </w:rPr>
              <w:t>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58</w:t>
            </w:r>
          </w:p>
        </w:tc>
        <w:tc>
          <w:tcPr>
            <w:tcW w:w="1769" w:type="dxa"/>
            <w:vAlign w:val="center"/>
          </w:tcPr>
          <w:p>
            <w:pPr>
              <w:spacing w:line="240" w:lineRule="auto"/>
              <w:jc w:val="center"/>
              <w:rPr>
                <w:rFonts w:ascii="Arial" w:hAnsi="Arial" w:cs="Arial"/>
                <w:szCs w:val="21"/>
              </w:rPr>
            </w:pPr>
            <w:r>
              <w:rPr>
                <w:rFonts w:ascii="Arial" w:hAnsi="Arial" w:cs="Arial"/>
                <w:szCs w:val="21"/>
              </w:rPr>
              <w:t>美术鉴赏</w:t>
            </w:r>
          </w:p>
        </w:tc>
        <w:tc>
          <w:tcPr>
            <w:tcW w:w="1298" w:type="dxa"/>
            <w:vAlign w:val="center"/>
          </w:tcPr>
          <w:p>
            <w:pPr>
              <w:spacing w:line="240" w:lineRule="auto"/>
              <w:jc w:val="center"/>
              <w:rPr>
                <w:rFonts w:ascii="Arial" w:hAnsi="Arial" w:cs="Arial"/>
                <w:szCs w:val="21"/>
              </w:rPr>
            </w:pPr>
            <w:r>
              <w:rPr>
                <w:rFonts w:ascii="Arial" w:hAnsi="Arial" w:cs="Arial"/>
                <w:szCs w:val="21"/>
              </w:rPr>
              <w:t>李松</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80</w:t>
            </w:r>
          </w:p>
        </w:tc>
        <w:tc>
          <w:tcPr>
            <w:tcW w:w="1298" w:type="dxa"/>
            <w:vAlign w:val="center"/>
          </w:tcPr>
          <w:p>
            <w:pPr>
              <w:spacing w:line="240" w:lineRule="auto"/>
              <w:jc w:val="center"/>
              <w:rPr>
                <w:rFonts w:ascii="Arial" w:hAnsi="Arial" w:cs="Arial"/>
                <w:szCs w:val="21"/>
              </w:rPr>
            </w:pPr>
            <w:r>
              <w:rPr>
                <w:rFonts w:ascii="Arial" w:hAnsi="Arial" w:cs="Arial"/>
                <w:szCs w:val="21"/>
              </w:rPr>
              <w:t>39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59</w:t>
            </w:r>
          </w:p>
        </w:tc>
        <w:tc>
          <w:tcPr>
            <w:tcW w:w="1769" w:type="dxa"/>
            <w:vAlign w:val="center"/>
          </w:tcPr>
          <w:p>
            <w:pPr>
              <w:spacing w:line="240" w:lineRule="auto"/>
              <w:jc w:val="center"/>
              <w:rPr>
                <w:rFonts w:ascii="Arial" w:hAnsi="Arial" w:cs="Arial"/>
                <w:szCs w:val="21"/>
              </w:rPr>
            </w:pPr>
            <w:r>
              <w:rPr>
                <w:rFonts w:ascii="Arial" w:hAnsi="Arial" w:cs="Arial"/>
                <w:szCs w:val="21"/>
              </w:rPr>
              <w:t>美的历程：美学导论</w:t>
            </w:r>
          </w:p>
        </w:tc>
        <w:tc>
          <w:tcPr>
            <w:tcW w:w="1298" w:type="dxa"/>
            <w:vAlign w:val="center"/>
          </w:tcPr>
          <w:p>
            <w:pPr>
              <w:spacing w:line="240" w:lineRule="auto"/>
              <w:jc w:val="center"/>
              <w:rPr>
                <w:rFonts w:ascii="Arial" w:hAnsi="Arial" w:cs="Arial"/>
                <w:szCs w:val="21"/>
              </w:rPr>
            </w:pPr>
            <w:r>
              <w:rPr>
                <w:rFonts w:ascii="Arial" w:hAnsi="Arial" w:cs="Arial"/>
                <w:szCs w:val="21"/>
              </w:rPr>
              <w:t>刘悦笛</w:t>
            </w:r>
          </w:p>
        </w:tc>
        <w:tc>
          <w:tcPr>
            <w:tcW w:w="1737" w:type="dxa"/>
            <w:vAlign w:val="center"/>
          </w:tcPr>
          <w:p>
            <w:pPr>
              <w:spacing w:line="240" w:lineRule="auto"/>
              <w:jc w:val="center"/>
              <w:rPr>
                <w:rFonts w:ascii="Arial" w:hAnsi="Arial" w:cs="Arial"/>
                <w:szCs w:val="21"/>
              </w:rPr>
            </w:pPr>
            <w:r>
              <w:rPr>
                <w:rFonts w:ascii="Arial" w:hAnsi="Arial" w:cs="Arial"/>
                <w:szCs w:val="21"/>
              </w:rPr>
              <w:t>中国社会科学院</w:t>
            </w:r>
          </w:p>
        </w:tc>
        <w:tc>
          <w:tcPr>
            <w:tcW w:w="1298" w:type="dxa"/>
            <w:vAlign w:val="center"/>
          </w:tcPr>
          <w:p>
            <w:pPr>
              <w:spacing w:line="240" w:lineRule="auto"/>
              <w:jc w:val="center"/>
              <w:rPr>
                <w:rFonts w:ascii="Arial" w:hAnsi="Arial" w:cs="Arial"/>
                <w:szCs w:val="21"/>
              </w:rPr>
            </w:pPr>
            <w:r>
              <w:rPr>
                <w:rFonts w:ascii="Arial" w:hAnsi="Arial" w:cs="Arial"/>
                <w:szCs w:val="21"/>
              </w:rPr>
              <w:t>2</w:t>
            </w:r>
          </w:p>
        </w:tc>
        <w:tc>
          <w:tcPr>
            <w:tcW w:w="1298" w:type="dxa"/>
            <w:vAlign w:val="center"/>
          </w:tcPr>
          <w:p>
            <w:pPr>
              <w:spacing w:line="240" w:lineRule="auto"/>
              <w:jc w:val="center"/>
              <w:rPr>
                <w:rFonts w:ascii="Arial" w:hAnsi="Arial" w:cs="Arial"/>
                <w:szCs w:val="21"/>
              </w:rPr>
            </w:pPr>
            <w:r>
              <w:rPr>
                <w:rFonts w:ascii="Arial" w:hAnsi="Arial" w:cs="Arial"/>
                <w:szCs w:val="21"/>
              </w:rPr>
              <w:t>11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60</w:t>
            </w:r>
          </w:p>
        </w:tc>
        <w:tc>
          <w:tcPr>
            <w:tcW w:w="1769" w:type="dxa"/>
            <w:vAlign w:val="center"/>
          </w:tcPr>
          <w:p>
            <w:pPr>
              <w:spacing w:line="240" w:lineRule="auto"/>
              <w:jc w:val="center"/>
              <w:rPr>
                <w:rFonts w:ascii="Arial" w:hAnsi="Arial" w:cs="Arial"/>
                <w:szCs w:val="21"/>
              </w:rPr>
            </w:pPr>
            <w:r>
              <w:rPr>
                <w:rFonts w:ascii="Arial" w:hAnsi="Arial" w:cs="Arial"/>
                <w:szCs w:val="21"/>
              </w:rPr>
              <w:t>职业压力管理</w:t>
            </w:r>
          </w:p>
        </w:tc>
        <w:tc>
          <w:tcPr>
            <w:tcW w:w="1298" w:type="dxa"/>
            <w:vAlign w:val="center"/>
          </w:tcPr>
          <w:p>
            <w:pPr>
              <w:spacing w:line="240" w:lineRule="auto"/>
              <w:jc w:val="center"/>
              <w:rPr>
                <w:rFonts w:ascii="Arial" w:hAnsi="Arial" w:cs="Arial"/>
                <w:szCs w:val="21"/>
              </w:rPr>
            </w:pPr>
            <w:r>
              <w:rPr>
                <w:rFonts w:ascii="Arial" w:hAnsi="Arial" w:cs="Arial"/>
                <w:szCs w:val="21"/>
              </w:rPr>
              <w:t>费俊峰</w:t>
            </w:r>
          </w:p>
        </w:tc>
        <w:tc>
          <w:tcPr>
            <w:tcW w:w="1737" w:type="dxa"/>
            <w:vAlign w:val="center"/>
          </w:tcPr>
          <w:p>
            <w:pPr>
              <w:spacing w:line="240" w:lineRule="auto"/>
              <w:jc w:val="center"/>
              <w:rPr>
                <w:rFonts w:ascii="Arial" w:hAnsi="Arial" w:cs="Arial"/>
                <w:szCs w:val="21"/>
              </w:rPr>
            </w:pPr>
            <w:r>
              <w:rPr>
                <w:rFonts w:ascii="Arial" w:hAnsi="Arial" w:cs="Arial"/>
                <w:szCs w:val="21"/>
              </w:rPr>
              <w:t>南京大学</w:t>
            </w:r>
          </w:p>
        </w:tc>
        <w:tc>
          <w:tcPr>
            <w:tcW w:w="1298" w:type="dxa"/>
            <w:vAlign w:val="center"/>
          </w:tcPr>
          <w:p>
            <w:pPr>
              <w:spacing w:line="240" w:lineRule="auto"/>
              <w:jc w:val="center"/>
              <w:rPr>
                <w:rFonts w:ascii="Arial" w:hAnsi="Arial" w:cs="Arial"/>
                <w:szCs w:val="21"/>
              </w:rPr>
            </w:pPr>
            <w:r>
              <w:rPr>
                <w:rFonts w:ascii="Arial" w:hAnsi="Arial" w:cs="Arial"/>
                <w:szCs w:val="21"/>
              </w:rPr>
              <w:t>19</w:t>
            </w:r>
          </w:p>
        </w:tc>
        <w:tc>
          <w:tcPr>
            <w:tcW w:w="1298" w:type="dxa"/>
            <w:vAlign w:val="center"/>
          </w:tcPr>
          <w:p>
            <w:pPr>
              <w:spacing w:line="240" w:lineRule="auto"/>
              <w:jc w:val="center"/>
              <w:rPr>
                <w:rFonts w:ascii="Arial" w:hAnsi="Arial" w:cs="Arial"/>
                <w:szCs w:val="21"/>
              </w:rPr>
            </w:pPr>
            <w:r>
              <w:rPr>
                <w:rFonts w:ascii="Arial" w:hAnsi="Arial" w:cs="Arial"/>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61</w:t>
            </w:r>
          </w:p>
        </w:tc>
        <w:tc>
          <w:tcPr>
            <w:tcW w:w="1769" w:type="dxa"/>
            <w:vAlign w:val="center"/>
          </w:tcPr>
          <w:p>
            <w:pPr>
              <w:spacing w:line="240" w:lineRule="auto"/>
              <w:jc w:val="center"/>
              <w:rPr>
                <w:rFonts w:ascii="Arial" w:hAnsi="Arial" w:cs="Arial"/>
                <w:szCs w:val="21"/>
              </w:rPr>
            </w:pPr>
            <w:r>
              <w:rPr>
                <w:rFonts w:ascii="Arial" w:hAnsi="Arial" w:cs="Arial"/>
                <w:szCs w:val="21"/>
              </w:rPr>
              <w:t>职业生涯提升</w:t>
            </w:r>
          </w:p>
        </w:tc>
        <w:tc>
          <w:tcPr>
            <w:tcW w:w="1298" w:type="dxa"/>
            <w:vAlign w:val="center"/>
          </w:tcPr>
          <w:p>
            <w:pPr>
              <w:spacing w:line="240" w:lineRule="auto"/>
              <w:jc w:val="center"/>
              <w:rPr>
                <w:rFonts w:ascii="Arial" w:hAnsi="Arial" w:cs="Arial"/>
                <w:szCs w:val="21"/>
              </w:rPr>
            </w:pPr>
            <w:r>
              <w:rPr>
                <w:rFonts w:ascii="Arial" w:hAnsi="Arial" w:cs="Arial"/>
                <w:szCs w:val="21"/>
              </w:rPr>
              <w:t>陈海春 等</w:t>
            </w:r>
          </w:p>
        </w:tc>
        <w:tc>
          <w:tcPr>
            <w:tcW w:w="1737" w:type="dxa"/>
            <w:vAlign w:val="center"/>
          </w:tcPr>
          <w:p>
            <w:pPr>
              <w:spacing w:line="240" w:lineRule="auto"/>
              <w:jc w:val="center"/>
              <w:rPr>
                <w:rFonts w:ascii="Arial" w:hAnsi="Arial" w:cs="Arial"/>
                <w:szCs w:val="21"/>
              </w:rPr>
            </w:pPr>
            <w:r>
              <w:rPr>
                <w:rFonts w:ascii="Arial" w:hAnsi="Arial" w:cs="Arial"/>
                <w:szCs w:val="21"/>
              </w:rPr>
              <w:t>华中科技大学</w:t>
            </w:r>
          </w:p>
        </w:tc>
        <w:tc>
          <w:tcPr>
            <w:tcW w:w="1298" w:type="dxa"/>
            <w:vAlign w:val="center"/>
          </w:tcPr>
          <w:p>
            <w:pPr>
              <w:spacing w:line="240" w:lineRule="auto"/>
              <w:jc w:val="center"/>
              <w:rPr>
                <w:rFonts w:ascii="Arial" w:hAnsi="Arial" w:cs="Arial"/>
                <w:szCs w:val="21"/>
              </w:rPr>
            </w:pPr>
            <w:r>
              <w:rPr>
                <w:rFonts w:ascii="Arial" w:hAnsi="Arial" w:cs="Arial"/>
                <w:szCs w:val="21"/>
              </w:rPr>
              <w:t>11</w:t>
            </w:r>
          </w:p>
        </w:tc>
        <w:tc>
          <w:tcPr>
            <w:tcW w:w="1298" w:type="dxa"/>
            <w:vAlign w:val="center"/>
          </w:tcPr>
          <w:p>
            <w:pPr>
              <w:spacing w:line="240" w:lineRule="auto"/>
              <w:jc w:val="center"/>
              <w:rPr>
                <w:rFonts w:ascii="Arial" w:hAnsi="Arial" w:cs="Arial"/>
                <w:szCs w:val="21"/>
              </w:rPr>
            </w:pPr>
            <w:r>
              <w:rPr>
                <w:rFonts w:ascii="Arial" w:hAnsi="Arial" w:cs="Arial"/>
                <w:szCs w:val="21"/>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62</w:t>
            </w:r>
          </w:p>
        </w:tc>
        <w:tc>
          <w:tcPr>
            <w:tcW w:w="1769" w:type="dxa"/>
            <w:vAlign w:val="center"/>
          </w:tcPr>
          <w:p>
            <w:pPr>
              <w:spacing w:line="240" w:lineRule="auto"/>
              <w:jc w:val="center"/>
              <w:rPr>
                <w:rFonts w:ascii="Arial" w:hAnsi="Arial" w:cs="Arial"/>
                <w:szCs w:val="21"/>
              </w:rPr>
            </w:pPr>
            <w:r>
              <w:rPr>
                <w:rFonts w:ascii="Arial" w:hAnsi="Arial" w:cs="Arial"/>
                <w:szCs w:val="21"/>
              </w:rPr>
              <w:t>葡萄酒与西方文化</w:t>
            </w:r>
          </w:p>
        </w:tc>
        <w:tc>
          <w:tcPr>
            <w:tcW w:w="1298" w:type="dxa"/>
            <w:vAlign w:val="center"/>
          </w:tcPr>
          <w:p>
            <w:pPr>
              <w:spacing w:line="240" w:lineRule="auto"/>
              <w:jc w:val="center"/>
              <w:rPr>
                <w:rFonts w:ascii="Arial" w:hAnsi="Arial" w:cs="Arial"/>
                <w:szCs w:val="21"/>
              </w:rPr>
            </w:pPr>
            <w:r>
              <w:rPr>
                <w:rFonts w:ascii="Arial" w:hAnsi="Arial" w:cs="Arial"/>
                <w:szCs w:val="21"/>
              </w:rPr>
              <w:t>尹克林</w:t>
            </w:r>
          </w:p>
        </w:tc>
        <w:tc>
          <w:tcPr>
            <w:tcW w:w="1737" w:type="dxa"/>
            <w:vAlign w:val="center"/>
          </w:tcPr>
          <w:p>
            <w:pPr>
              <w:spacing w:line="240" w:lineRule="auto"/>
              <w:jc w:val="center"/>
              <w:rPr>
                <w:rFonts w:ascii="Arial" w:hAnsi="Arial" w:cs="Arial"/>
                <w:szCs w:val="21"/>
              </w:rPr>
            </w:pPr>
            <w:r>
              <w:rPr>
                <w:rFonts w:ascii="Arial" w:hAnsi="Arial" w:cs="Arial"/>
                <w:szCs w:val="21"/>
              </w:rPr>
              <w:t>西南大学</w:t>
            </w:r>
          </w:p>
        </w:tc>
        <w:tc>
          <w:tcPr>
            <w:tcW w:w="1298" w:type="dxa"/>
            <w:vAlign w:val="center"/>
          </w:tcPr>
          <w:p>
            <w:pPr>
              <w:spacing w:line="240" w:lineRule="auto"/>
              <w:jc w:val="center"/>
              <w:rPr>
                <w:rFonts w:ascii="Arial" w:hAnsi="Arial" w:cs="Arial"/>
                <w:szCs w:val="21"/>
              </w:rPr>
            </w:pPr>
            <w:r>
              <w:rPr>
                <w:rFonts w:ascii="Arial" w:hAnsi="Arial" w:cs="Arial"/>
                <w:szCs w:val="21"/>
              </w:rPr>
              <w:t>46</w:t>
            </w:r>
          </w:p>
        </w:tc>
        <w:tc>
          <w:tcPr>
            <w:tcW w:w="1298" w:type="dxa"/>
            <w:vAlign w:val="center"/>
          </w:tcPr>
          <w:p>
            <w:pPr>
              <w:spacing w:line="240" w:lineRule="auto"/>
              <w:jc w:val="center"/>
              <w:rPr>
                <w:rFonts w:ascii="Arial" w:hAnsi="Arial" w:cs="Arial"/>
                <w:szCs w:val="21"/>
              </w:rPr>
            </w:pPr>
            <w:r>
              <w:rPr>
                <w:rFonts w:ascii="Arial" w:hAnsi="Arial" w:cs="Arial"/>
                <w:szCs w:val="21"/>
              </w:rPr>
              <w:t>13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63</w:t>
            </w:r>
          </w:p>
        </w:tc>
        <w:tc>
          <w:tcPr>
            <w:tcW w:w="1769" w:type="dxa"/>
            <w:vAlign w:val="center"/>
          </w:tcPr>
          <w:p>
            <w:pPr>
              <w:spacing w:line="240" w:lineRule="auto"/>
              <w:jc w:val="center"/>
              <w:rPr>
                <w:rFonts w:ascii="Arial" w:hAnsi="Arial" w:cs="Arial"/>
                <w:szCs w:val="21"/>
              </w:rPr>
            </w:pPr>
            <w:r>
              <w:rPr>
                <w:rFonts w:ascii="Arial" w:hAnsi="Arial" w:cs="Arial"/>
                <w:szCs w:val="21"/>
              </w:rPr>
              <w:t>西方文化名著导读</w:t>
            </w:r>
          </w:p>
        </w:tc>
        <w:tc>
          <w:tcPr>
            <w:tcW w:w="1298" w:type="dxa"/>
            <w:vAlign w:val="center"/>
          </w:tcPr>
          <w:p>
            <w:pPr>
              <w:spacing w:line="240" w:lineRule="auto"/>
              <w:jc w:val="center"/>
              <w:rPr>
                <w:rFonts w:ascii="Arial" w:hAnsi="Arial" w:cs="Arial"/>
                <w:szCs w:val="21"/>
              </w:rPr>
            </w:pPr>
            <w:r>
              <w:rPr>
                <w:rFonts w:ascii="Arial" w:hAnsi="Arial" w:cs="Arial"/>
                <w:szCs w:val="21"/>
              </w:rPr>
              <w:t>彭 刚</w:t>
            </w:r>
          </w:p>
        </w:tc>
        <w:tc>
          <w:tcPr>
            <w:tcW w:w="1737" w:type="dxa"/>
            <w:vAlign w:val="center"/>
          </w:tcPr>
          <w:p>
            <w:pPr>
              <w:spacing w:line="240" w:lineRule="auto"/>
              <w:jc w:val="center"/>
              <w:rPr>
                <w:rFonts w:ascii="Arial" w:hAnsi="Arial" w:cs="Arial"/>
                <w:szCs w:val="21"/>
              </w:rPr>
            </w:pPr>
            <w:r>
              <w:rPr>
                <w:rFonts w:ascii="Arial" w:hAnsi="Arial" w:cs="Arial"/>
                <w:szCs w:val="21"/>
              </w:rPr>
              <w:t>清华大学</w:t>
            </w:r>
          </w:p>
        </w:tc>
        <w:tc>
          <w:tcPr>
            <w:tcW w:w="1298" w:type="dxa"/>
            <w:vAlign w:val="center"/>
          </w:tcPr>
          <w:p>
            <w:pPr>
              <w:spacing w:line="240" w:lineRule="auto"/>
              <w:jc w:val="center"/>
              <w:rPr>
                <w:rFonts w:ascii="Arial" w:hAnsi="Arial" w:cs="Arial"/>
                <w:szCs w:val="21"/>
              </w:rPr>
            </w:pPr>
            <w:r>
              <w:rPr>
                <w:rFonts w:ascii="Arial" w:hAnsi="Arial" w:cs="Arial"/>
                <w:szCs w:val="21"/>
              </w:rPr>
              <w:t>6</w:t>
            </w:r>
          </w:p>
        </w:tc>
        <w:tc>
          <w:tcPr>
            <w:tcW w:w="1298" w:type="dxa"/>
            <w:vAlign w:val="center"/>
          </w:tcPr>
          <w:p>
            <w:pPr>
              <w:spacing w:line="240" w:lineRule="auto"/>
              <w:jc w:val="center"/>
              <w:rPr>
                <w:rFonts w:ascii="Arial" w:hAnsi="Arial" w:cs="Arial"/>
                <w:szCs w:val="21"/>
              </w:rPr>
            </w:pPr>
            <w:r>
              <w:rPr>
                <w:rFonts w:ascii="Arial" w:hAnsi="Arial" w:cs="Arial"/>
                <w:szCs w:val="21"/>
              </w:rPr>
              <w:t>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64</w:t>
            </w:r>
          </w:p>
        </w:tc>
        <w:tc>
          <w:tcPr>
            <w:tcW w:w="1769" w:type="dxa"/>
            <w:vAlign w:val="center"/>
          </w:tcPr>
          <w:p>
            <w:pPr>
              <w:spacing w:line="240" w:lineRule="auto"/>
              <w:jc w:val="center"/>
              <w:rPr>
                <w:rFonts w:ascii="Arial" w:hAnsi="Arial" w:cs="Arial"/>
                <w:szCs w:val="21"/>
              </w:rPr>
            </w:pPr>
            <w:r>
              <w:rPr>
                <w:rFonts w:ascii="Arial" w:hAnsi="Arial" w:cs="Arial"/>
                <w:szCs w:val="21"/>
              </w:rPr>
              <w:t>西方文明通论</w:t>
            </w:r>
          </w:p>
        </w:tc>
        <w:tc>
          <w:tcPr>
            <w:tcW w:w="1298" w:type="dxa"/>
            <w:vAlign w:val="center"/>
          </w:tcPr>
          <w:p>
            <w:pPr>
              <w:spacing w:line="240" w:lineRule="auto"/>
              <w:jc w:val="center"/>
              <w:rPr>
                <w:rFonts w:ascii="Arial" w:hAnsi="Arial" w:cs="Arial"/>
                <w:szCs w:val="21"/>
              </w:rPr>
            </w:pPr>
            <w:r>
              <w:rPr>
                <w:rFonts w:ascii="Arial" w:hAnsi="Arial" w:cs="Arial"/>
                <w:szCs w:val="21"/>
              </w:rPr>
              <w:t>丛日云 等</w:t>
            </w:r>
          </w:p>
        </w:tc>
        <w:tc>
          <w:tcPr>
            <w:tcW w:w="1737" w:type="dxa"/>
            <w:vAlign w:val="center"/>
          </w:tcPr>
          <w:p>
            <w:pPr>
              <w:spacing w:line="240" w:lineRule="auto"/>
              <w:jc w:val="center"/>
              <w:rPr>
                <w:rFonts w:ascii="Arial" w:hAnsi="Arial" w:cs="Arial"/>
                <w:szCs w:val="21"/>
              </w:rPr>
            </w:pPr>
            <w:r>
              <w:rPr>
                <w:rFonts w:ascii="Arial" w:hAnsi="Arial" w:cs="Arial"/>
                <w:szCs w:val="21"/>
              </w:rPr>
              <w:t>中国政法大学</w:t>
            </w:r>
          </w:p>
        </w:tc>
        <w:tc>
          <w:tcPr>
            <w:tcW w:w="1298" w:type="dxa"/>
            <w:vAlign w:val="center"/>
          </w:tcPr>
          <w:p>
            <w:pPr>
              <w:spacing w:line="240" w:lineRule="auto"/>
              <w:jc w:val="center"/>
              <w:rPr>
                <w:rFonts w:ascii="Arial" w:hAnsi="Arial" w:cs="Arial"/>
                <w:szCs w:val="21"/>
              </w:rPr>
            </w:pPr>
            <w:r>
              <w:rPr>
                <w:rFonts w:ascii="Arial" w:hAnsi="Arial" w:cs="Arial"/>
                <w:szCs w:val="21"/>
              </w:rPr>
              <w:t>1</w:t>
            </w:r>
          </w:p>
        </w:tc>
        <w:tc>
          <w:tcPr>
            <w:tcW w:w="1298" w:type="dxa"/>
            <w:vAlign w:val="center"/>
          </w:tcPr>
          <w:p>
            <w:pPr>
              <w:spacing w:line="240" w:lineRule="auto"/>
              <w:jc w:val="center"/>
              <w:rPr>
                <w:rFonts w:ascii="Arial" w:hAnsi="Arial" w:cs="Arial"/>
                <w:szCs w:val="21"/>
              </w:rPr>
            </w:pPr>
            <w:r>
              <w:rPr>
                <w:rFonts w:ascii="Arial" w:hAnsi="Arial" w:cs="Arial"/>
                <w:szCs w:val="21"/>
              </w:rPr>
              <w:t>33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65</w:t>
            </w:r>
          </w:p>
        </w:tc>
        <w:tc>
          <w:tcPr>
            <w:tcW w:w="1769" w:type="dxa"/>
            <w:vAlign w:val="center"/>
          </w:tcPr>
          <w:p>
            <w:pPr>
              <w:spacing w:line="240" w:lineRule="auto"/>
              <w:jc w:val="center"/>
              <w:rPr>
                <w:rFonts w:ascii="Arial" w:hAnsi="Arial" w:cs="Arial"/>
                <w:szCs w:val="21"/>
              </w:rPr>
            </w:pPr>
            <w:r>
              <w:rPr>
                <w:rFonts w:ascii="Arial" w:hAnsi="Arial" w:cs="Arial"/>
                <w:szCs w:val="21"/>
              </w:rPr>
              <w:t>语言与文化</w:t>
            </w:r>
          </w:p>
        </w:tc>
        <w:tc>
          <w:tcPr>
            <w:tcW w:w="1298" w:type="dxa"/>
            <w:vAlign w:val="center"/>
          </w:tcPr>
          <w:p>
            <w:pPr>
              <w:spacing w:line="240" w:lineRule="auto"/>
              <w:jc w:val="center"/>
              <w:rPr>
                <w:rFonts w:ascii="Arial" w:hAnsi="Arial" w:cs="Arial"/>
                <w:szCs w:val="21"/>
              </w:rPr>
            </w:pPr>
            <w:r>
              <w:rPr>
                <w:rFonts w:ascii="Arial" w:hAnsi="Arial" w:cs="Arial"/>
                <w:szCs w:val="21"/>
              </w:rPr>
              <w:t>陈保亚、汪锋</w:t>
            </w:r>
          </w:p>
        </w:tc>
        <w:tc>
          <w:tcPr>
            <w:tcW w:w="1737" w:type="dxa"/>
            <w:vAlign w:val="center"/>
          </w:tcPr>
          <w:p>
            <w:pPr>
              <w:spacing w:line="240" w:lineRule="auto"/>
              <w:jc w:val="center"/>
              <w:rPr>
                <w:rFonts w:ascii="Arial" w:hAnsi="Arial" w:cs="Arial"/>
                <w:szCs w:val="21"/>
              </w:rPr>
            </w:pPr>
            <w:r>
              <w:rPr>
                <w:rFonts w:ascii="Arial" w:hAnsi="Arial" w:cs="Arial"/>
                <w:szCs w:val="21"/>
              </w:rPr>
              <w:t>北京大学</w:t>
            </w:r>
          </w:p>
        </w:tc>
        <w:tc>
          <w:tcPr>
            <w:tcW w:w="1298" w:type="dxa"/>
            <w:vAlign w:val="center"/>
          </w:tcPr>
          <w:p>
            <w:pPr>
              <w:spacing w:line="240" w:lineRule="auto"/>
              <w:jc w:val="center"/>
              <w:rPr>
                <w:rFonts w:ascii="Arial" w:hAnsi="Arial" w:cs="Arial"/>
                <w:szCs w:val="21"/>
              </w:rPr>
            </w:pPr>
            <w:r>
              <w:rPr>
                <w:rFonts w:ascii="Arial" w:hAnsi="Arial" w:cs="Arial"/>
                <w:szCs w:val="21"/>
              </w:rPr>
              <w:t>7</w:t>
            </w:r>
          </w:p>
        </w:tc>
        <w:tc>
          <w:tcPr>
            <w:tcW w:w="1298" w:type="dxa"/>
            <w:vAlign w:val="center"/>
          </w:tcPr>
          <w:p>
            <w:pPr>
              <w:spacing w:line="240" w:lineRule="auto"/>
              <w:jc w:val="center"/>
              <w:rPr>
                <w:rFonts w:ascii="Arial" w:hAnsi="Arial" w:cs="Arial"/>
                <w:szCs w:val="21"/>
              </w:rPr>
            </w:pPr>
            <w:r>
              <w:rPr>
                <w:rFonts w:ascii="Arial" w:hAnsi="Arial" w:cs="Arial"/>
                <w:szCs w:val="21"/>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66</w:t>
            </w:r>
          </w:p>
        </w:tc>
        <w:tc>
          <w:tcPr>
            <w:tcW w:w="1769" w:type="dxa"/>
            <w:vAlign w:val="center"/>
          </w:tcPr>
          <w:p>
            <w:pPr>
              <w:spacing w:line="240" w:lineRule="auto"/>
              <w:jc w:val="center"/>
              <w:rPr>
                <w:rFonts w:ascii="Arial" w:hAnsi="Arial" w:cs="Arial"/>
                <w:szCs w:val="21"/>
              </w:rPr>
            </w:pPr>
            <w:r>
              <w:rPr>
                <w:rFonts w:ascii="Arial" w:hAnsi="Arial" w:cs="Arial"/>
                <w:szCs w:val="21"/>
              </w:rPr>
              <w:t>逻辑学导论</w:t>
            </w:r>
          </w:p>
        </w:tc>
        <w:tc>
          <w:tcPr>
            <w:tcW w:w="1298" w:type="dxa"/>
            <w:vAlign w:val="center"/>
          </w:tcPr>
          <w:p>
            <w:pPr>
              <w:spacing w:line="240" w:lineRule="auto"/>
              <w:jc w:val="center"/>
              <w:rPr>
                <w:rFonts w:ascii="Arial" w:hAnsi="Arial" w:cs="Arial"/>
                <w:szCs w:val="21"/>
              </w:rPr>
            </w:pPr>
            <w:r>
              <w:rPr>
                <w:rFonts w:ascii="Arial" w:hAnsi="Arial" w:cs="Arial"/>
                <w:szCs w:val="21"/>
              </w:rPr>
              <w:t>熊明辉</w:t>
            </w:r>
          </w:p>
        </w:tc>
        <w:tc>
          <w:tcPr>
            <w:tcW w:w="1737" w:type="dxa"/>
            <w:vAlign w:val="center"/>
          </w:tcPr>
          <w:p>
            <w:pPr>
              <w:spacing w:line="240" w:lineRule="auto"/>
              <w:jc w:val="center"/>
              <w:rPr>
                <w:rFonts w:ascii="Arial" w:hAnsi="Arial" w:cs="Arial"/>
                <w:szCs w:val="21"/>
              </w:rPr>
            </w:pPr>
            <w:r>
              <w:rPr>
                <w:rFonts w:ascii="Arial" w:hAnsi="Arial" w:cs="Arial"/>
                <w:szCs w:val="21"/>
              </w:rPr>
              <w:t>中山大学</w:t>
            </w:r>
          </w:p>
        </w:tc>
        <w:tc>
          <w:tcPr>
            <w:tcW w:w="1298" w:type="dxa"/>
            <w:vAlign w:val="center"/>
          </w:tcPr>
          <w:p>
            <w:pPr>
              <w:spacing w:line="240" w:lineRule="auto"/>
              <w:jc w:val="center"/>
              <w:rPr>
                <w:rFonts w:ascii="Arial" w:hAnsi="Arial" w:cs="Arial"/>
                <w:szCs w:val="21"/>
              </w:rPr>
            </w:pPr>
            <w:r>
              <w:rPr>
                <w:rFonts w:ascii="Arial" w:hAnsi="Arial" w:cs="Arial"/>
                <w:szCs w:val="21"/>
              </w:rPr>
              <w:t>12</w:t>
            </w:r>
          </w:p>
        </w:tc>
        <w:tc>
          <w:tcPr>
            <w:tcW w:w="1298" w:type="dxa"/>
            <w:vAlign w:val="center"/>
          </w:tcPr>
          <w:p>
            <w:pPr>
              <w:spacing w:line="240" w:lineRule="auto"/>
              <w:jc w:val="center"/>
              <w:rPr>
                <w:rFonts w:ascii="Arial" w:hAnsi="Arial" w:cs="Arial"/>
                <w:szCs w:val="21"/>
              </w:rPr>
            </w:pPr>
            <w:r>
              <w:rPr>
                <w:rFonts w:ascii="Arial" w:hAnsi="Arial" w:cs="Arial"/>
                <w:szCs w:val="21"/>
              </w:rPr>
              <w:t>27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67</w:t>
            </w:r>
          </w:p>
        </w:tc>
        <w:tc>
          <w:tcPr>
            <w:tcW w:w="1769" w:type="dxa"/>
            <w:vAlign w:val="center"/>
          </w:tcPr>
          <w:p>
            <w:pPr>
              <w:spacing w:line="240" w:lineRule="auto"/>
              <w:jc w:val="center"/>
              <w:rPr>
                <w:rFonts w:ascii="Arial" w:hAnsi="Arial" w:cs="Arial"/>
                <w:szCs w:val="21"/>
              </w:rPr>
            </w:pPr>
            <w:r>
              <w:rPr>
                <w:rFonts w:ascii="Arial" w:hAnsi="Arial" w:cs="Arial"/>
                <w:szCs w:val="21"/>
              </w:rPr>
              <w:t>音乐鉴赏</w:t>
            </w:r>
          </w:p>
        </w:tc>
        <w:tc>
          <w:tcPr>
            <w:tcW w:w="1298" w:type="dxa"/>
            <w:vAlign w:val="center"/>
          </w:tcPr>
          <w:p>
            <w:pPr>
              <w:spacing w:line="240" w:lineRule="auto"/>
              <w:jc w:val="center"/>
              <w:rPr>
                <w:rFonts w:ascii="Arial" w:hAnsi="Arial" w:cs="Arial"/>
                <w:szCs w:val="21"/>
              </w:rPr>
            </w:pPr>
            <w:r>
              <w:rPr>
                <w:rFonts w:ascii="Arial" w:hAnsi="Arial" w:cs="Arial"/>
                <w:szCs w:val="21"/>
              </w:rPr>
              <w:t>周海宏</w:t>
            </w:r>
          </w:p>
        </w:tc>
        <w:tc>
          <w:tcPr>
            <w:tcW w:w="1737" w:type="dxa"/>
            <w:vAlign w:val="center"/>
          </w:tcPr>
          <w:p>
            <w:pPr>
              <w:spacing w:line="240" w:lineRule="auto"/>
              <w:jc w:val="center"/>
              <w:rPr>
                <w:rFonts w:ascii="Arial" w:hAnsi="Arial" w:cs="Arial"/>
                <w:szCs w:val="21"/>
              </w:rPr>
            </w:pPr>
            <w:r>
              <w:rPr>
                <w:rFonts w:ascii="Arial" w:hAnsi="Arial" w:cs="Arial"/>
                <w:szCs w:val="21"/>
              </w:rPr>
              <w:t>中央音乐学院</w:t>
            </w:r>
          </w:p>
        </w:tc>
        <w:tc>
          <w:tcPr>
            <w:tcW w:w="1298" w:type="dxa"/>
            <w:vAlign w:val="center"/>
          </w:tcPr>
          <w:p>
            <w:pPr>
              <w:spacing w:line="240" w:lineRule="auto"/>
              <w:jc w:val="center"/>
              <w:rPr>
                <w:rFonts w:ascii="Arial" w:hAnsi="Arial" w:cs="Arial"/>
                <w:szCs w:val="21"/>
              </w:rPr>
            </w:pPr>
            <w:r>
              <w:rPr>
                <w:rFonts w:ascii="Arial" w:hAnsi="Arial" w:cs="Arial"/>
                <w:szCs w:val="21"/>
              </w:rPr>
              <w:t>40</w:t>
            </w:r>
          </w:p>
        </w:tc>
        <w:tc>
          <w:tcPr>
            <w:tcW w:w="1298" w:type="dxa"/>
            <w:vAlign w:val="center"/>
          </w:tcPr>
          <w:p>
            <w:pPr>
              <w:spacing w:line="240" w:lineRule="auto"/>
              <w:jc w:val="center"/>
              <w:rPr>
                <w:rFonts w:ascii="Arial" w:hAnsi="Arial" w:cs="Arial"/>
                <w:szCs w:val="21"/>
              </w:rPr>
            </w:pPr>
            <w:r>
              <w:rPr>
                <w:rFonts w:ascii="Arial" w:hAnsi="Arial" w:cs="Arial"/>
                <w:szCs w:val="21"/>
              </w:rPr>
              <w:t>35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68</w:t>
            </w:r>
          </w:p>
        </w:tc>
        <w:tc>
          <w:tcPr>
            <w:tcW w:w="1769" w:type="dxa"/>
            <w:vAlign w:val="center"/>
          </w:tcPr>
          <w:p>
            <w:pPr>
              <w:spacing w:line="240" w:lineRule="auto"/>
              <w:jc w:val="center"/>
              <w:rPr>
                <w:rFonts w:ascii="Arial" w:hAnsi="Arial" w:cs="Arial"/>
                <w:szCs w:val="21"/>
              </w:rPr>
            </w:pPr>
            <w:r>
              <w:rPr>
                <w:rFonts w:ascii="Arial" w:hAnsi="Arial" w:cs="Arial"/>
                <w:szCs w:val="21"/>
              </w:rPr>
              <w:t>领导学</w:t>
            </w:r>
          </w:p>
        </w:tc>
        <w:tc>
          <w:tcPr>
            <w:tcW w:w="1298" w:type="dxa"/>
            <w:vAlign w:val="center"/>
          </w:tcPr>
          <w:p>
            <w:pPr>
              <w:spacing w:line="240" w:lineRule="auto"/>
              <w:jc w:val="center"/>
              <w:rPr>
                <w:rFonts w:ascii="Arial" w:hAnsi="Arial" w:cs="Arial"/>
                <w:szCs w:val="21"/>
              </w:rPr>
            </w:pPr>
            <w:r>
              <w:rPr>
                <w:rFonts w:ascii="Arial" w:hAnsi="Arial" w:cs="Arial"/>
                <w:szCs w:val="21"/>
              </w:rPr>
              <w:t>常健</w:t>
            </w:r>
          </w:p>
        </w:tc>
        <w:tc>
          <w:tcPr>
            <w:tcW w:w="1737" w:type="dxa"/>
            <w:vAlign w:val="center"/>
          </w:tcPr>
          <w:p>
            <w:pPr>
              <w:spacing w:line="240" w:lineRule="auto"/>
              <w:jc w:val="center"/>
              <w:rPr>
                <w:rFonts w:ascii="Arial" w:hAnsi="Arial" w:cs="Arial"/>
                <w:szCs w:val="21"/>
              </w:rPr>
            </w:pPr>
            <w:r>
              <w:rPr>
                <w:rFonts w:ascii="Arial" w:hAnsi="Arial" w:cs="Arial"/>
                <w:szCs w:val="21"/>
              </w:rPr>
              <w:t>南开大学</w:t>
            </w:r>
          </w:p>
        </w:tc>
        <w:tc>
          <w:tcPr>
            <w:tcW w:w="1298" w:type="dxa"/>
            <w:vAlign w:val="center"/>
          </w:tcPr>
          <w:p>
            <w:pPr>
              <w:spacing w:line="240" w:lineRule="auto"/>
              <w:jc w:val="center"/>
              <w:rPr>
                <w:rFonts w:ascii="Arial" w:hAnsi="Arial" w:cs="Arial"/>
                <w:szCs w:val="21"/>
              </w:rPr>
            </w:pPr>
            <w:r>
              <w:rPr>
                <w:rFonts w:ascii="Arial" w:hAnsi="Arial" w:cs="Arial"/>
                <w:szCs w:val="21"/>
              </w:rPr>
              <w:t>15</w:t>
            </w:r>
          </w:p>
        </w:tc>
        <w:tc>
          <w:tcPr>
            <w:tcW w:w="1298" w:type="dxa"/>
            <w:vAlign w:val="center"/>
          </w:tcPr>
          <w:p>
            <w:pPr>
              <w:spacing w:line="240" w:lineRule="auto"/>
              <w:jc w:val="center"/>
              <w:rPr>
                <w:rFonts w:ascii="Arial" w:hAnsi="Arial" w:cs="Arial"/>
                <w:szCs w:val="21"/>
              </w:rPr>
            </w:pPr>
            <w:r>
              <w:rPr>
                <w:rFonts w:ascii="Arial" w:hAnsi="Arial" w:cs="Arial"/>
                <w:szCs w:val="21"/>
              </w:rPr>
              <w:t>31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69</w:t>
            </w:r>
          </w:p>
        </w:tc>
        <w:tc>
          <w:tcPr>
            <w:tcW w:w="1769" w:type="dxa"/>
            <w:vAlign w:val="center"/>
          </w:tcPr>
          <w:p>
            <w:pPr>
              <w:spacing w:line="240" w:lineRule="auto"/>
              <w:jc w:val="center"/>
              <w:rPr>
                <w:rFonts w:ascii="Arial" w:hAnsi="Arial" w:cs="Arial"/>
                <w:szCs w:val="21"/>
              </w:rPr>
            </w:pPr>
            <w:r>
              <w:rPr>
                <w:rFonts w:ascii="Arial" w:hAnsi="Arial" w:cs="Arial"/>
                <w:szCs w:val="21"/>
              </w:rPr>
              <w:t>食品安全与日常饮食</w:t>
            </w:r>
          </w:p>
        </w:tc>
        <w:tc>
          <w:tcPr>
            <w:tcW w:w="1298" w:type="dxa"/>
            <w:vAlign w:val="center"/>
          </w:tcPr>
          <w:p>
            <w:pPr>
              <w:spacing w:line="240" w:lineRule="auto"/>
              <w:jc w:val="center"/>
              <w:rPr>
                <w:rFonts w:ascii="Arial" w:hAnsi="Arial" w:cs="Arial"/>
                <w:szCs w:val="21"/>
              </w:rPr>
            </w:pPr>
            <w:r>
              <w:rPr>
                <w:rFonts w:ascii="Arial" w:hAnsi="Arial" w:cs="Arial"/>
                <w:szCs w:val="21"/>
              </w:rPr>
              <w:t>陈  芳</w:t>
            </w:r>
          </w:p>
        </w:tc>
        <w:tc>
          <w:tcPr>
            <w:tcW w:w="1737" w:type="dxa"/>
            <w:vAlign w:val="center"/>
          </w:tcPr>
          <w:p>
            <w:pPr>
              <w:spacing w:line="240" w:lineRule="auto"/>
              <w:jc w:val="center"/>
              <w:rPr>
                <w:rFonts w:ascii="Arial" w:hAnsi="Arial" w:cs="Arial"/>
                <w:szCs w:val="21"/>
              </w:rPr>
            </w:pPr>
            <w:r>
              <w:rPr>
                <w:rFonts w:ascii="Arial" w:hAnsi="Arial" w:cs="Arial"/>
                <w:szCs w:val="21"/>
              </w:rPr>
              <w:t>中国农业大学</w:t>
            </w:r>
          </w:p>
        </w:tc>
        <w:tc>
          <w:tcPr>
            <w:tcW w:w="1298" w:type="dxa"/>
            <w:vAlign w:val="center"/>
          </w:tcPr>
          <w:p>
            <w:pPr>
              <w:spacing w:line="240" w:lineRule="auto"/>
              <w:jc w:val="center"/>
              <w:rPr>
                <w:rFonts w:ascii="Arial" w:hAnsi="Arial" w:cs="Arial"/>
                <w:szCs w:val="21"/>
              </w:rPr>
            </w:pPr>
            <w:r>
              <w:rPr>
                <w:rFonts w:ascii="Arial" w:hAnsi="Arial" w:cs="Arial"/>
                <w:szCs w:val="21"/>
              </w:rPr>
              <w:t>27</w:t>
            </w:r>
          </w:p>
        </w:tc>
        <w:tc>
          <w:tcPr>
            <w:tcW w:w="1298" w:type="dxa"/>
            <w:vAlign w:val="center"/>
          </w:tcPr>
          <w:p>
            <w:pPr>
              <w:spacing w:line="240" w:lineRule="auto"/>
              <w:jc w:val="center"/>
              <w:rPr>
                <w:rFonts w:ascii="Arial" w:hAnsi="Arial" w:cs="Arial"/>
                <w:szCs w:val="21"/>
              </w:rPr>
            </w:pPr>
            <w:r>
              <w:rPr>
                <w:rFonts w:ascii="Arial" w:hAnsi="Arial" w:cs="Arial"/>
                <w:szCs w:val="21"/>
              </w:rPr>
              <w:t>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0" w:hRule="atLeast"/>
        </w:trPr>
        <w:tc>
          <w:tcPr>
            <w:tcW w:w="1298" w:type="dxa"/>
            <w:vAlign w:val="center"/>
          </w:tcPr>
          <w:p>
            <w:pPr>
              <w:spacing w:line="240" w:lineRule="auto"/>
              <w:jc w:val="center"/>
              <w:rPr>
                <w:rFonts w:ascii="Arial" w:hAnsi="Arial" w:cs="Arial"/>
                <w:szCs w:val="21"/>
              </w:rPr>
            </w:pPr>
            <w:r>
              <w:rPr>
                <w:rFonts w:ascii="Arial" w:hAnsi="Arial" w:cs="Arial"/>
                <w:szCs w:val="21"/>
              </w:rPr>
              <w:t>70</w:t>
            </w:r>
          </w:p>
        </w:tc>
        <w:tc>
          <w:tcPr>
            <w:tcW w:w="1769" w:type="dxa"/>
            <w:vAlign w:val="center"/>
          </w:tcPr>
          <w:p>
            <w:pPr>
              <w:spacing w:line="240" w:lineRule="auto"/>
              <w:jc w:val="center"/>
              <w:rPr>
                <w:rFonts w:ascii="Arial" w:hAnsi="Arial" w:cs="Arial"/>
                <w:szCs w:val="21"/>
              </w:rPr>
            </w:pPr>
            <w:r>
              <w:rPr>
                <w:rFonts w:ascii="Arial" w:hAnsi="Arial" w:cs="Arial"/>
                <w:szCs w:val="21"/>
              </w:rPr>
              <w:t>魅力科学</w:t>
            </w:r>
          </w:p>
        </w:tc>
        <w:tc>
          <w:tcPr>
            <w:tcW w:w="1298" w:type="dxa"/>
            <w:vAlign w:val="center"/>
          </w:tcPr>
          <w:p>
            <w:pPr>
              <w:spacing w:line="240" w:lineRule="auto"/>
              <w:jc w:val="center"/>
              <w:rPr>
                <w:rFonts w:ascii="Arial" w:hAnsi="Arial" w:cs="Arial"/>
                <w:szCs w:val="21"/>
              </w:rPr>
            </w:pPr>
            <w:r>
              <w:rPr>
                <w:rFonts w:ascii="Arial" w:hAnsi="Arial" w:cs="Arial"/>
                <w:szCs w:val="21"/>
              </w:rPr>
              <w:t>车云霞、杨振宁、张首晟、马宗晋、欧阳自远</w:t>
            </w:r>
          </w:p>
        </w:tc>
        <w:tc>
          <w:tcPr>
            <w:tcW w:w="1737" w:type="dxa"/>
            <w:vAlign w:val="center"/>
          </w:tcPr>
          <w:p>
            <w:pPr>
              <w:spacing w:line="240" w:lineRule="auto"/>
              <w:jc w:val="center"/>
              <w:rPr>
                <w:rFonts w:ascii="Arial" w:hAnsi="Arial" w:cs="Arial"/>
                <w:szCs w:val="21"/>
              </w:rPr>
            </w:pPr>
            <w:r>
              <w:rPr>
                <w:rFonts w:ascii="Arial" w:hAnsi="Arial" w:cs="Arial"/>
                <w:szCs w:val="21"/>
              </w:rPr>
              <w:t>南开大学、清华大学、美国斯坦福大学、中国地震局地质研究所、中国科学院</w:t>
            </w:r>
          </w:p>
        </w:tc>
        <w:tc>
          <w:tcPr>
            <w:tcW w:w="1298" w:type="dxa"/>
            <w:vAlign w:val="center"/>
          </w:tcPr>
          <w:p>
            <w:pPr>
              <w:spacing w:line="240" w:lineRule="auto"/>
              <w:jc w:val="center"/>
              <w:rPr>
                <w:rFonts w:ascii="Arial" w:hAnsi="Arial" w:cs="Arial"/>
                <w:szCs w:val="21"/>
              </w:rPr>
            </w:pPr>
            <w:r>
              <w:rPr>
                <w:rFonts w:ascii="Arial" w:hAnsi="Arial" w:cs="Arial"/>
                <w:szCs w:val="21"/>
              </w:rPr>
              <w:t>44</w:t>
            </w:r>
          </w:p>
        </w:tc>
        <w:tc>
          <w:tcPr>
            <w:tcW w:w="1298" w:type="dxa"/>
            <w:vAlign w:val="center"/>
          </w:tcPr>
          <w:p>
            <w:pPr>
              <w:spacing w:line="240" w:lineRule="auto"/>
              <w:jc w:val="center"/>
              <w:rPr>
                <w:rFonts w:ascii="Arial" w:hAnsi="Arial" w:cs="Arial"/>
                <w:szCs w:val="21"/>
              </w:rPr>
            </w:pPr>
            <w:r>
              <w:rPr>
                <w:rFonts w:ascii="Arial" w:hAnsi="Arial" w:cs="Arial"/>
                <w:szCs w:val="21"/>
              </w:rPr>
              <w:t>16</w:t>
            </w:r>
          </w:p>
        </w:tc>
      </w:tr>
    </w:tbl>
    <w:p>
      <w:pPr>
        <w:spacing w:line="360" w:lineRule="auto"/>
        <w:rPr>
          <w:rFonts w:ascii="Arial" w:hAnsi="Arial" w:cs="Arial"/>
          <w:lang w:val="zh-TW"/>
        </w:rPr>
      </w:pPr>
    </w:p>
    <w:p>
      <w:pPr>
        <w:widowControl/>
        <w:spacing w:line="240" w:lineRule="auto"/>
        <w:jc w:val="left"/>
        <w:rPr>
          <w:rFonts w:ascii="Arial" w:hAnsi="Arial" w:cs="Arial"/>
          <w:lang w:val="zh-TW"/>
        </w:rPr>
      </w:pPr>
      <w:r>
        <w:rPr>
          <w:rFonts w:ascii="Arial" w:hAnsi="Arial" w:cs="Arial"/>
          <w:lang w:val="zh-TW"/>
        </w:rPr>
        <w:br w:type="page"/>
      </w:r>
    </w:p>
    <w:p>
      <w:pPr>
        <w:pStyle w:val="3"/>
        <w:rPr>
          <w:rFonts w:ascii="Arial" w:hAnsi="Arial" w:cs="Arial"/>
        </w:rPr>
      </w:pPr>
      <w:bookmarkStart w:id="24" w:name="_Toc7725"/>
      <w:r>
        <w:rPr>
          <w:rFonts w:ascii="Arial" w:hAnsi="Arial" w:cs="Arial"/>
        </w:rPr>
        <w:t>附录2 课程考核成绩表</w:t>
      </w:r>
      <w:bookmarkEnd w:id="24"/>
    </w:p>
    <w:tbl>
      <w:tblPr>
        <w:tblStyle w:val="40"/>
        <w:tblW w:w="9849" w:type="dxa"/>
        <w:jc w:val="center"/>
        <w:tblInd w:w="3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9"/>
        <w:gridCol w:w="992"/>
        <w:gridCol w:w="856"/>
        <w:gridCol w:w="856"/>
        <w:gridCol w:w="1189"/>
        <w:gridCol w:w="796"/>
        <w:gridCol w:w="850"/>
        <w:gridCol w:w="992"/>
        <w:gridCol w:w="104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34"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课程名称</w:t>
            </w:r>
          </w:p>
        </w:tc>
        <w:tc>
          <w:tcPr>
            <w:tcW w:w="992"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选课</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w:t>
            </w:r>
          </w:p>
        </w:tc>
        <w:tc>
          <w:tcPr>
            <w:tcW w:w="856"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hint="eastAsia" w:ascii="Arial" w:hAnsi="Arial" w:eastAsia="黑体" w:cs="Arial"/>
                <w:b/>
                <w:bCs/>
                <w:kern w:val="0"/>
                <w:sz w:val="21"/>
                <w:szCs w:val="21"/>
                <w:u w:color="000000"/>
                <w:lang w:val="zh-TW" w:eastAsia="zh-TW"/>
              </w:rPr>
              <w:t>未登陆</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0"/>
                <w:szCs w:val="21"/>
                <w:u w:color="000000"/>
                <w:lang w:val="zh-TW" w:eastAsia="zh-TW"/>
              </w:rPr>
            </w:pPr>
            <w:r>
              <w:rPr>
                <w:rFonts w:hint="eastAsia" w:ascii="Arial" w:hAnsi="Arial" w:eastAsia="黑体" w:cs="Arial"/>
                <w:b/>
                <w:bCs/>
                <w:kern w:val="0"/>
                <w:sz w:val="21"/>
                <w:szCs w:val="21"/>
                <w:u w:color="000000"/>
                <w:lang w:val="zh-TW" w:eastAsia="zh-TW"/>
              </w:rPr>
              <w:t>人数</w:t>
            </w:r>
          </w:p>
        </w:tc>
        <w:tc>
          <w:tcPr>
            <w:tcW w:w="856"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考试</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w:t>
            </w:r>
          </w:p>
        </w:tc>
        <w:tc>
          <w:tcPr>
            <w:tcW w:w="1189"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选考</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人次比</w:t>
            </w:r>
          </w:p>
        </w:tc>
        <w:tc>
          <w:tcPr>
            <w:tcW w:w="796"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平均</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成绩</w:t>
            </w:r>
          </w:p>
        </w:tc>
        <w:tc>
          <w:tcPr>
            <w:tcW w:w="850"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lang w:val="zh-TW"/>
              </w:rPr>
            </w:pPr>
            <w:r>
              <w:rPr>
                <w:rFonts w:ascii="Arial" w:hAnsi="Arial" w:eastAsia="黑体" w:cs="Arial"/>
                <w:b/>
                <w:bCs/>
                <w:kern w:val="0"/>
                <w:sz w:val="21"/>
                <w:szCs w:val="21"/>
                <w:u w:color="000000"/>
                <w:lang w:val="zh-TW" w:eastAsia="zh-TW"/>
              </w:rPr>
              <w:t>通过</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人次数</w:t>
            </w:r>
          </w:p>
        </w:tc>
        <w:tc>
          <w:tcPr>
            <w:tcW w:w="992"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bCs/>
                <w:kern w:val="0"/>
                <w:sz w:val="21"/>
                <w:szCs w:val="21"/>
                <w:u w:color="000000"/>
              </w:rPr>
            </w:pPr>
            <w:r>
              <w:rPr>
                <w:rFonts w:hint="eastAsia" w:ascii="Arial" w:hAnsi="Arial" w:eastAsia="黑体" w:cs="Arial"/>
                <w:b/>
                <w:bCs/>
                <w:kern w:val="0"/>
                <w:sz w:val="21"/>
                <w:szCs w:val="21"/>
                <w:u w:color="000000"/>
                <w:lang w:val="zh-TW"/>
              </w:rPr>
              <w:t>考核</w:t>
            </w:r>
          </w:p>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通过率</w:t>
            </w:r>
          </w:p>
        </w:tc>
        <w:tc>
          <w:tcPr>
            <w:tcW w:w="1049" w:type="dxa"/>
            <w:tcBorders>
              <w:top w:val="single" w:color="000000" w:sz="4" w:space="0"/>
              <w:left w:val="single" w:color="000000" w:sz="4" w:space="0"/>
              <w:bottom w:val="single" w:color="000000" w:sz="4" w:space="0"/>
              <w:right w:val="single" w:color="000000" w:sz="4" w:space="0"/>
            </w:tcBorders>
            <w:shd w:val="clear" w:color="auto" w:fill="65281A" w:themeFill="accent1"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kern w:val="0"/>
                <w:sz w:val="21"/>
                <w:szCs w:val="21"/>
              </w:rPr>
            </w:pPr>
            <w:r>
              <w:rPr>
                <w:rFonts w:ascii="Arial" w:hAnsi="Arial" w:eastAsia="黑体" w:cs="Arial"/>
                <w:b/>
                <w:bCs/>
                <w:kern w:val="0"/>
                <w:sz w:val="21"/>
                <w:szCs w:val="21"/>
                <w:u w:color="000000"/>
                <w:lang w:val="zh-TW" w:eastAsia="zh-TW"/>
              </w:rPr>
              <w:t>优秀率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大学生公民素质教育</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3233</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94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2940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90.94%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95.67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2962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94.36%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77.22%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形势与政策（2018年春）</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2331</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101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2101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90.13%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96.16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2104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94.35%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大学生安全教育（新版）</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2188</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230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1845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84.32%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1828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93.36%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77.17%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军事理论（南开版）</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1868</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68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1690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90.47%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96.24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1712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95.11%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大学生创业基础</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1855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55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1694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91.32%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95.46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1695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94.17%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77.78%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《孙子兵法》与执政艺术</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969</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37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86.27%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93.74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90.13%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65.45%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有效沟通技巧</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513</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27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417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81.29%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433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89.09%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口才艺术与社交礼仪</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443</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36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79.46%</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86.49%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70.02%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突发事件及自救互救</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418</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21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361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86.36%</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90.43%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68.77%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生命安全与救援</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392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347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88.52%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95.35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349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92.82%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77.66%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创新思维训练</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365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81.64%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93.36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84.62%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65.81%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创新创业</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235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52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68.51%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94.12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86.34%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71.04%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情绪管理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235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213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90.64%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93.28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218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如何高效学习</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220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187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93.31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194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90.23%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中华诗词之美</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189</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75.66%</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93.35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80.34%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中国文化概论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74.85%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82.35%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60.78%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法律基础</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85.25%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94.17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89.66%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大学生恋爱与性健康</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75.21%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92.91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80.73%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55.96%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时间管理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114</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7</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79.82%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94.58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87.85%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74.77%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公共关系礼仪实务</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9</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75.45%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94.81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85.15%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形象管理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77.78%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60.71%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美术鉴赏</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78.75%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95.24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人力资源招聘与选拔</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86.67%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穿T恤听古典音乐</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59</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83.05%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94.84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87.5%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71.43%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幸福心理学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92.81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当代中国经济</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9</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61.54%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79.07%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62.79%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文化传统与现代文明</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78.72%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89.36%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55.32%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葡萄酒与西方文化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65.22%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91.34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78.95%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魅力科学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44</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79.55%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94.24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67.44%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心理、行为与文化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43</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65.12%</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91.44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71.79%</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46.15%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管理学精要</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78.57%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94.83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86.84%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68.42%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音乐鉴赏</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72.5%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95.76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80.56%</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69.44%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女子礼仪</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94.24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商业计划书的优化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52.78%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92.08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69.44%</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影视鉴赏</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93.75%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96.77%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80.65%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食品安全与日常饮食</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81.48%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93.26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84.62%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57.69%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九型人格之职场心理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77.78%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96.41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80.77%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73.08%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应用文写作</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74.07%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89.89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84.62%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46.15%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移动互联网时代的信息安全与防护</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57.69%</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93.25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社会心理学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96.24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80.95%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大学生魅力讲话实操</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23</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95.65%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88.46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43.48%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中国古代史</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63.64%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93.36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14</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38.1%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中国古典小说巅峰：四大名著鉴赏</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84.21%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职业压力管理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19</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84.21%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92.56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84.21%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57.89%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市场的力量：中国经济改革之思</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68.75%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88.93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78.57%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42.86%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企业绿色管理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56.25%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93.14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69.23%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46.15%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领导学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92.31%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69.23%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大学启示录：如何读大学？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93.57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81.82%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54.55%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儒学与生活</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96.56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58.33%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中国书法史</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95.55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41.67%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传统文化与现代经营管理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91.67%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95.11</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逻辑学导论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81.82%</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45.45%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文化遗产概览</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90.91%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90.91%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81.82%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职业生涯提升</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11</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63.64%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90.45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就业指导</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92.28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美学原理</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81.57</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宏观经济学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99.35</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欧洲文明概论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71.43%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94.43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语言与文化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57.14%</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83.13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用相声演绎中国文化</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85.71%</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95.22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85.71%</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57.14%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西方文化名著导读</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92.93</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国际金融</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91.79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现代城市生态与环境学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4</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94.12</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国学智慧</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90.76</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微观经济学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98.74</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创业法学</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98.69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大国崛起：中国对外贸易概论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82.18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66.67%</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33.33%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创新创业大赛赛前特训</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96.89</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美的历程：美学导论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80</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2</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DAA454" w:themeFill="text2" w:themeFillTint="99"/>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color w:val="000000"/>
                <w:kern w:val="0"/>
                <w:sz w:val="21"/>
                <w:szCs w:val="21"/>
              </w:rPr>
            </w:pPr>
            <w:r>
              <w:rPr>
                <w:rFonts w:ascii="Arial" w:hAnsi="Arial" w:cs="Arial"/>
                <w:color w:val="000000"/>
                <w:kern w:val="0"/>
                <w:sz w:val="21"/>
                <w:szCs w:val="21"/>
              </w:rPr>
              <w:t>西方文明通论</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856" w:type="dxa"/>
            <w:tcBorders>
              <w:top w:val="single" w:color="000000" w:sz="4" w:space="0"/>
              <w:left w:val="single" w:color="000000" w:sz="4" w:space="0"/>
              <w:bottom w:val="single" w:color="000000" w:sz="4" w:space="0"/>
              <w:right w:val="single" w:color="000000" w:sz="4" w:space="0"/>
            </w:tcBorders>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0"/>
                <w:szCs w:val="21"/>
              </w:rPr>
            </w:pPr>
            <w:r>
              <w:rPr>
                <w:rFonts w:ascii="Arial" w:hAnsi="Arial" w:eastAsia="黑体" w:cs="Arial"/>
                <w:color w:val="000000"/>
                <w:kern w:val="0"/>
                <w:sz w:val="21"/>
                <w:szCs w:val="21"/>
              </w:rPr>
              <w:t>0</w:t>
            </w:r>
          </w:p>
        </w:tc>
        <w:tc>
          <w:tcPr>
            <w:tcW w:w="85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118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79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68.18</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color w:val="000000"/>
                <w:kern w:val="0"/>
                <w:sz w:val="21"/>
                <w:szCs w:val="21"/>
              </w:rPr>
            </w:pPr>
            <w:r>
              <w:rPr>
                <w:rFonts w:ascii="Arial" w:hAnsi="Arial" w:eastAsia="黑体" w:cs="Arial"/>
                <w:color w:val="000000"/>
                <w:kern w:val="0"/>
                <w:sz w:val="21"/>
                <w:szCs w:val="21"/>
              </w:rPr>
              <w:t>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0" w:hRule="atLeast"/>
          <w:jc w:val="center"/>
        </w:trPr>
        <w:tc>
          <w:tcPr>
            <w:tcW w:w="2269"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cs="Arial"/>
                <w:b/>
                <w:color w:val="000000"/>
                <w:kern w:val="0"/>
                <w:sz w:val="21"/>
                <w:szCs w:val="21"/>
              </w:rPr>
            </w:pPr>
            <w:r>
              <w:rPr>
                <w:rFonts w:ascii="Arial" w:hAnsi="Arial" w:cs="Arial"/>
                <w:b/>
                <w:color w:val="000000"/>
                <w:kern w:val="0"/>
                <w:sz w:val="21"/>
                <w:szCs w:val="21"/>
              </w:rPr>
              <w:t>合计</w:t>
            </w:r>
          </w:p>
        </w:tc>
        <w:tc>
          <w:tcPr>
            <w:tcW w:w="992"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17299</w:t>
            </w:r>
          </w:p>
        </w:tc>
        <w:tc>
          <w:tcPr>
            <w:tcW w:w="856"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900</w:t>
            </w:r>
          </w:p>
        </w:tc>
        <w:tc>
          <w:tcPr>
            <w:tcW w:w="856"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14992</w:t>
            </w:r>
          </w:p>
        </w:tc>
        <w:tc>
          <w:tcPr>
            <w:tcW w:w="1189"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86.66%</w:t>
            </w:r>
          </w:p>
        </w:tc>
        <w:tc>
          <w:tcPr>
            <w:tcW w:w="796"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95.09</w:t>
            </w:r>
          </w:p>
        </w:tc>
        <w:tc>
          <w:tcPr>
            <w:tcW w:w="850"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15077</w:t>
            </w:r>
          </w:p>
        </w:tc>
        <w:tc>
          <w:tcPr>
            <w:tcW w:w="992"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91.94%</w:t>
            </w:r>
          </w:p>
        </w:tc>
        <w:tc>
          <w:tcPr>
            <w:tcW w:w="1049" w:type="dxa"/>
            <w:tcBorders>
              <w:top w:val="single" w:color="000000" w:sz="4" w:space="0"/>
              <w:left w:val="single" w:color="000000" w:sz="4" w:space="0"/>
              <w:bottom w:val="single" w:color="000000" w:sz="4" w:space="0"/>
              <w:right w:val="single" w:color="000000" w:sz="4" w:space="0"/>
            </w:tcBorders>
            <w:shd w:val="clear" w:color="auto" w:fill="A2641F" w:themeFill="accent2" w:themeFillShade="BF"/>
            <w:tcMar>
              <w:top w:w="80" w:type="dxa"/>
              <w:left w:w="80" w:type="dxa"/>
              <w:bottom w:w="80" w:type="dxa"/>
              <w:right w:w="80" w:type="dxa"/>
            </w:tcMar>
            <w:vAlign w:val="center"/>
          </w:tcPr>
          <w:p>
            <w:pPr>
              <w:pBdr>
                <w:top w:val="none" w:color="auto" w:sz="0" w:space="0"/>
                <w:left w:val="none" w:color="auto" w:sz="0" w:space="0"/>
                <w:bottom w:val="none" w:color="auto" w:sz="0" w:space="0"/>
                <w:right w:val="none" w:color="auto" w:sz="0" w:space="0"/>
                <w:between w:val="none" w:color="auto" w:sz="0" w:space="0"/>
              </w:pBdr>
              <w:spacing w:line="240" w:lineRule="auto"/>
              <w:jc w:val="center"/>
              <w:rPr>
                <w:rFonts w:ascii="Arial" w:hAnsi="Arial" w:eastAsia="黑体" w:cs="Arial"/>
                <w:b/>
                <w:color w:val="000000"/>
                <w:kern w:val="0"/>
                <w:sz w:val="21"/>
                <w:szCs w:val="21"/>
              </w:rPr>
            </w:pPr>
            <w:r>
              <w:rPr>
                <w:rFonts w:ascii="Arial" w:hAnsi="Arial" w:eastAsia="黑体" w:cs="Arial"/>
                <w:b/>
                <w:color w:val="000000"/>
                <w:kern w:val="0"/>
                <w:sz w:val="21"/>
                <w:szCs w:val="21"/>
              </w:rPr>
              <w:t>73.99%</w:t>
            </w:r>
          </w:p>
        </w:tc>
      </w:tr>
    </w:tbl>
    <w:p>
      <w:pPr>
        <w:rPr>
          <w:rFonts w:ascii="Arial" w:hAnsi="Arial" w:cs="Arial"/>
          <w:lang w:val="zh-TW"/>
        </w:rPr>
      </w:pPr>
    </w:p>
    <w:p>
      <w:pPr>
        <w:widowControl/>
        <w:spacing w:line="240" w:lineRule="auto"/>
        <w:jc w:val="left"/>
        <w:rPr>
          <w:rFonts w:ascii="Arial" w:hAnsi="Arial" w:cs="Arial"/>
          <w:lang w:val="zh-TW"/>
        </w:rPr>
      </w:pPr>
      <w:r>
        <w:rPr>
          <w:rFonts w:ascii="Arial" w:hAnsi="Arial" w:cs="Arial"/>
          <w:lang w:val="zh-TW"/>
        </w:rPr>
        <w:br w:type="page"/>
      </w:r>
    </w:p>
    <w:p>
      <w:pPr>
        <w:spacing w:line="360" w:lineRule="auto"/>
        <w:rPr>
          <w:rFonts w:ascii="Arial" w:hAnsi="Arial" w:cs="Arial"/>
          <w:kern w:val="0"/>
          <w:szCs w:val="21"/>
        </w:rPr>
      </w:pPr>
      <w:bookmarkStart w:id="25" w:name="_GoBack"/>
      <w:bookmarkEnd w:id="25"/>
      <w:r>
        <w:rPr>
          <w:rFonts w:ascii="Arial" w:hAnsi="Arial" w:cs="Arial"/>
          <w:kern w:val="0"/>
          <w:szCs w:val="21"/>
        </w:rPr>
        <w:drawing>
          <wp:anchor distT="0" distB="0" distL="114300" distR="114300" simplePos="0" relativeHeight="251681792" behindDoc="0" locked="0" layoutInCell="1" allowOverlap="1">
            <wp:simplePos x="0" y="0"/>
            <wp:positionH relativeFrom="column">
              <wp:posOffset>-1146175</wp:posOffset>
            </wp:positionH>
            <wp:positionV relativeFrom="paragraph">
              <wp:posOffset>-914400</wp:posOffset>
            </wp:positionV>
            <wp:extent cx="7553325" cy="1069213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7553203" cy="10692000"/>
                    </a:xfrm>
                    <a:prstGeom prst="rect">
                      <a:avLst/>
                    </a:prstGeom>
                    <a:noFill/>
                    <a:ln>
                      <a:noFill/>
                    </a:ln>
                  </pic:spPr>
                </pic:pic>
              </a:graphicData>
            </a:graphic>
          </wp:anchor>
        </w:drawing>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华文细黑">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t>I</w:t>
    </w:r>
    <w:r>
      <w:rPr>
        <w:sz w:val="28"/>
        <w:szCs w:val="28"/>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pPr>
    <w:r>
      <w:rPr>
        <w:rFonts w:hint="eastAsia"/>
      </w:rPr>
      <w:drawing>
        <wp:anchor distT="0" distB="0" distL="114300" distR="114300" simplePos="0" relativeHeight="251658240" behindDoc="0" locked="0" layoutInCell="1" allowOverlap="1">
          <wp:simplePos x="0" y="0"/>
          <wp:positionH relativeFrom="column">
            <wp:posOffset>4543425</wp:posOffset>
          </wp:positionH>
          <wp:positionV relativeFrom="paragraph">
            <wp:posOffset>69850</wp:posOffset>
          </wp:positionV>
          <wp:extent cx="716915" cy="196850"/>
          <wp:effectExtent l="0" t="0" r="6985" b="0"/>
          <wp:wrapNone/>
          <wp:docPr id="11" name="图片 11" descr="D:\尔雅\尔雅资料（销售用）\11、尔雅logo\超星尔雅 角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D:\尔雅\尔雅资料（销售用）\11、尔雅logo\超星尔雅 角标.png"/>
                  <pic:cNvPicPr>
                    <a:picLocks noChangeAspect="1" noChangeArrowheads="1"/>
                  </pic:cNvPicPr>
                </pic:nvPicPr>
                <pic:blipFill>
                  <a:blip r:embed="rId1" cstate="print">
                    <a:extLst>
                      <a:ext uri="{28A0092B-C50C-407E-A947-70E740481C1C}">
                        <a14:useLocalDpi xmlns:a14="http://schemas.microsoft.com/office/drawing/2010/main" val="0"/>
                      </a:ext>
                    </a:extLst>
                  </a:blip>
                  <a:srcRect l="11650" t="16673" r="10679" b="22189"/>
                  <a:stretch>
                    <a:fillRect/>
                  </a:stretch>
                </pic:blipFill>
                <pic:spPr>
                  <a:xfrm>
                    <a:off x="0" y="0"/>
                    <a:ext cx="716915" cy="196850"/>
                  </a:xfrm>
                  <a:prstGeom prst="rect">
                    <a:avLst/>
                  </a:prstGeom>
                  <a:noFill/>
                  <a:ln>
                    <a:noFill/>
                  </a:ln>
                </pic:spPr>
              </pic:pic>
            </a:graphicData>
          </a:graphic>
        </wp:anchor>
      </w:drawing>
    </w:r>
    <w:r>
      <w:rPr>
        <w:rFonts w:hint="eastAsia" w:ascii="黑体" w:hAnsi="黑体" w:eastAsia="黑体"/>
        <w:b/>
        <w:color w:val="65291B" w:themeColor="accent1" w:themeShade="BF"/>
        <w:sz w:val="21"/>
      </w:rPr>
      <w:t>河南交通职业技术学院超星尔雅课程运行报告</w:t>
    </w:r>
    <w:r>
      <w:rPr>
        <w:rFonts w:hint="eastAsia" w:ascii="黑体" w:hAnsi="黑体" w:eastAsia="黑体"/>
        <w:b/>
      </w:rPr>
      <w:t>（2018年春季学期）</w:t>
    </w:r>
    <w:r>
      <w:rPr>
        <w:rFonts w:hint="eastAsia"/>
      </w:rPr>
      <w:t xml:space="preserve">        </w:t>
    </w:r>
    <w:r>
      <w:rPr>
        <w:rFonts w:hint="eastAsia" w:ascii="黑体" w:hAnsi="黑体" w:eastAsia="黑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E8399E"/>
    <w:multiLevelType w:val="multilevel"/>
    <w:tmpl w:val="32E8399E"/>
    <w:lvl w:ilvl="0" w:tentative="0">
      <w:start w:val="1"/>
      <w:numFmt w:val="bullet"/>
      <w:lvlText w:val=""/>
      <w:lvlJc w:val="left"/>
      <w:pPr>
        <w:ind w:left="902" w:hanging="420"/>
      </w:pPr>
      <w:rPr>
        <w:rFonts w:hint="default" w:ascii="Wingdings" w:hAnsi="Wingdings"/>
      </w:rPr>
    </w:lvl>
    <w:lvl w:ilvl="1" w:tentative="0">
      <w:start w:val="1"/>
      <w:numFmt w:val="bullet"/>
      <w:lvlText w:val=""/>
      <w:lvlJc w:val="left"/>
      <w:pPr>
        <w:ind w:left="1322" w:hanging="420"/>
      </w:pPr>
      <w:rPr>
        <w:rFonts w:hint="default" w:ascii="Wingdings" w:hAnsi="Wingdings"/>
      </w:rPr>
    </w:lvl>
    <w:lvl w:ilvl="2" w:tentative="0">
      <w:start w:val="1"/>
      <w:numFmt w:val="bullet"/>
      <w:lvlText w:val=""/>
      <w:lvlJc w:val="left"/>
      <w:pPr>
        <w:ind w:left="1742" w:hanging="420"/>
      </w:pPr>
      <w:rPr>
        <w:rFonts w:hint="default" w:ascii="Wingdings" w:hAnsi="Wingdings"/>
      </w:rPr>
    </w:lvl>
    <w:lvl w:ilvl="3" w:tentative="0">
      <w:start w:val="1"/>
      <w:numFmt w:val="bullet"/>
      <w:lvlText w:val=""/>
      <w:lvlJc w:val="left"/>
      <w:pPr>
        <w:ind w:left="2162" w:hanging="420"/>
      </w:pPr>
      <w:rPr>
        <w:rFonts w:hint="default" w:ascii="Wingdings" w:hAnsi="Wingdings"/>
      </w:rPr>
    </w:lvl>
    <w:lvl w:ilvl="4" w:tentative="0">
      <w:start w:val="1"/>
      <w:numFmt w:val="bullet"/>
      <w:lvlText w:val=""/>
      <w:lvlJc w:val="left"/>
      <w:pPr>
        <w:ind w:left="2582" w:hanging="420"/>
      </w:pPr>
      <w:rPr>
        <w:rFonts w:hint="default" w:ascii="Wingdings" w:hAnsi="Wingdings"/>
      </w:rPr>
    </w:lvl>
    <w:lvl w:ilvl="5" w:tentative="0">
      <w:start w:val="1"/>
      <w:numFmt w:val="bullet"/>
      <w:lvlText w:val=""/>
      <w:lvlJc w:val="left"/>
      <w:pPr>
        <w:ind w:left="3002" w:hanging="420"/>
      </w:pPr>
      <w:rPr>
        <w:rFonts w:hint="default" w:ascii="Wingdings" w:hAnsi="Wingdings"/>
      </w:rPr>
    </w:lvl>
    <w:lvl w:ilvl="6" w:tentative="0">
      <w:start w:val="1"/>
      <w:numFmt w:val="bullet"/>
      <w:lvlText w:val=""/>
      <w:lvlJc w:val="left"/>
      <w:pPr>
        <w:ind w:left="3422" w:hanging="420"/>
      </w:pPr>
      <w:rPr>
        <w:rFonts w:hint="default" w:ascii="Wingdings" w:hAnsi="Wingdings"/>
      </w:rPr>
    </w:lvl>
    <w:lvl w:ilvl="7" w:tentative="0">
      <w:start w:val="1"/>
      <w:numFmt w:val="bullet"/>
      <w:lvlText w:val=""/>
      <w:lvlJc w:val="left"/>
      <w:pPr>
        <w:ind w:left="3842" w:hanging="420"/>
      </w:pPr>
      <w:rPr>
        <w:rFonts w:hint="default" w:ascii="Wingdings" w:hAnsi="Wingdings"/>
      </w:rPr>
    </w:lvl>
    <w:lvl w:ilvl="8" w:tentative="0">
      <w:start w:val="1"/>
      <w:numFmt w:val="bullet"/>
      <w:lvlText w:val=""/>
      <w:lvlJc w:val="left"/>
      <w:pPr>
        <w:ind w:left="4262" w:hanging="420"/>
      </w:pPr>
      <w:rPr>
        <w:rFonts w:hint="default" w:ascii="Wingdings" w:hAnsi="Wingdings"/>
      </w:rPr>
    </w:lvl>
  </w:abstractNum>
  <w:abstractNum w:abstractNumId="1">
    <w:nsid w:val="356A63E0"/>
    <w:multiLevelType w:val="multilevel"/>
    <w:tmpl w:val="356A63E0"/>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5E6D3733"/>
    <w:multiLevelType w:val="multilevel"/>
    <w:tmpl w:val="5E6D3733"/>
    <w:lvl w:ilvl="0" w:tentative="0">
      <w:start w:val="1"/>
      <w:numFmt w:val="chineseCountingThousand"/>
      <w:pStyle w:val="2"/>
      <w:lvlText w:val="%1、"/>
      <w:lvlJc w:val="left"/>
      <w:pPr>
        <w:ind w:left="3965"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2"/>
    <w:lvlOverride w:ilvl="0">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6CE"/>
    <w:rsid w:val="00000A63"/>
    <w:rsid w:val="000103C8"/>
    <w:rsid w:val="000118FB"/>
    <w:rsid w:val="0001376C"/>
    <w:rsid w:val="00016518"/>
    <w:rsid w:val="0001658B"/>
    <w:rsid w:val="000165F0"/>
    <w:rsid w:val="000215A9"/>
    <w:rsid w:val="000217E4"/>
    <w:rsid w:val="00022B36"/>
    <w:rsid w:val="0002311B"/>
    <w:rsid w:val="00027B2D"/>
    <w:rsid w:val="000311B7"/>
    <w:rsid w:val="0003626C"/>
    <w:rsid w:val="00041E31"/>
    <w:rsid w:val="00047910"/>
    <w:rsid w:val="000508ED"/>
    <w:rsid w:val="00050C1A"/>
    <w:rsid w:val="000511E8"/>
    <w:rsid w:val="000517F2"/>
    <w:rsid w:val="00052699"/>
    <w:rsid w:val="00061E11"/>
    <w:rsid w:val="0007309F"/>
    <w:rsid w:val="0007337D"/>
    <w:rsid w:val="0007751B"/>
    <w:rsid w:val="00080646"/>
    <w:rsid w:val="000809F1"/>
    <w:rsid w:val="0008126C"/>
    <w:rsid w:val="00085D6F"/>
    <w:rsid w:val="00087A4F"/>
    <w:rsid w:val="000911F2"/>
    <w:rsid w:val="000A0C98"/>
    <w:rsid w:val="000A5684"/>
    <w:rsid w:val="000A6D39"/>
    <w:rsid w:val="000B0A31"/>
    <w:rsid w:val="000B3E71"/>
    <w:rsid w:val="000B6B79"/>
    <w:rsid w:val="000C52A6"/>
    <w:rsid w:val="000D2866"/>
    <w:rsid w:val="000D38C5"/>
    <w:rsid w:val="000D4FA5"/>
    <w:rsid w:val="000E084D"/>
    <w:rsid w:val="000E2C08"/>
    <w:rsid w:val="000E37E8"/>
    <w:rsid w:val="000F1A97"/>
    <w:rsid w:val="000F28C8"/>
    <w:rsid w:val="000F2C05"/>
    <w:rsid w:val="000F6DD4"/>
    <w:rsid w:val="001043AA"/>
    <w:rsid w:val="00104CC4"/>
    <w:rsid w:val="00104F12"/>
    <w:rsid w:val="00113087"/>
    <w:rsid w:val="001138D6"/>
    <w:rsid w:val="00116EBC"/>
    <w:rsid w:val="00120627"/>
    <w:rsid w:val="00121758"/>
    <w:rsid w:val="00125F65"/>
    <w:rsid w:val="00130A67"/>
    <w:rsid w:val="00131075"/>
    <w:rsid w:val="00132132"/>
    <w:rsid w:val="00143706"/>
    <w:rsid w:val="00147246"/>
    <w:rsid w:val="00156A47"/>
    <w:rsid w:val="001577DD"/>
    <w:rsid w:val="00160B29"/>
    <w:rsid w:val="0016198A"/>
    <w:rsid w:val="00161C05"/>
    <w:rsid w:val="00170352"/>
    <w:rsid w:val="00171075"/>
    <w:rsid w:val="001748FF"/>
    <w:rsid w:val="0017736B"/>
    <w:rsid w:val="00177A05"/>
    <w:rsid w:val="00180F47"/>
    <w:rsid w:val="001821B1"/>
    <w:rsid w:val="001863AA"/>
    <w:rsid w:val="0018732F"/>
    <w:rsid w:val="001878D7"/>
    <w:rsid w:val="001925DC"/>
    <w:rsid w:val="00193420"/>
    <w:rsid w:val="001A304B"/>
    <w:rsid w:val="001A47BC"/>
    <w:rsid w:val="001A68DF"/>
    <w:rsid w:val="001A69AE"/>
    <w:rsid w:val="001A6E92"/>
    <w:rsid w:val="001B76F5"/>
    <w:rsid w:val="001C1235"/>
    <w:rsid w:val="001C26EC"/>
    <w:rsid w:val="001C4550"/>
    <w:rsid w:val="001C6218"/>
    <w:rsid w:val="001D04DF"/>
    <w:rsid w:val="001D1192"/>
    <w:rsid w:val="001D2A9E"/>
    <w:rsid w:val="001D2CD6"/>
    <w:rsid w:val="001D5BCC"/>
    <w:rsid w:val="001E2D0D"/>
    <w:rsid w:val="001E433F"/>
    <w:rsid w:val="001E51E0"/>
    <w:rsid w:val="001E579A"/>
    <w:rsid w:val="001E6484"/>
    <w:rsid w:val="001F0ABE"/>
    <w:rsid w:val="001F2A8F"/>
    <w:rsid w:val="001F6634"/>
    <w:rsid w:val="00200E0D"/>
    <w:rsid w:val="00201683"/>
    <w:rsid w:val="002043AE"/>
    <w:rsid w:val="002050BC"/>
    <w:rsid w:val="00207E31"/>
    <w:rsid w:val="00220EB3"/>
    <w:rsid w:val="00222306"/>
    <w:rsid w:val="00227FE4"/>
    <w:rsid w:val="002359CE"/>
    <w:rsid w:val="00237B04"/>
    <w:rsid w:val="002412B4"/>
    <w:rsid w:val="00246714"/>
    <w:rsid w:val="00246E81"/>
    <w:rsid w:val="00250930"/>
    <w:rsid w:val="0025445D"/>
    <w:rsid w:val="002544F1"/>
    <w:rsid w:val="00261A0D"/>
    <w:rsid w:val="00261E7D"/>
    <w:rsid w:val="00265033"/>
    <w:rsid w:val="00267D18"/>
    <w:rsid w:val="00271A7A"/>
    <w:rsid w:val="00274D9F"/>
    <w:rsid w:val="002756CC"/>
    <w:rsid w:val="002766E1"/>
    <w:rsid w:val="002805F1"/>
    <w:rsid w:val="00281ACE"/>
    <w:rsid w:val="00282950"/>
    <w:rsid w:val="00282A0F"/>
    <w:rsid w:val="00282D1C"/>
    <w:rsid w:val="00285003"/>
    <w:rsid w:val="00291F05"/>
    <w:rsid w:val="002B0E62"/>
    <w:rsid w:val="002B1E69"/>
    <w:rsid w:val="002B40BA"/>
    <w:rsid w:val="002B55C6"/>
    <w:rsid w:val="002B61E8"/>
    <w:rsid w:val="002C0F56"/>
    <w:rsid w:val="002C5FDD"/>
    <w:rsid w:val="002D0065"/>
    <w:rsid w:val="002D1296"/>
    <w:rsid w:val="002D2504"/>
    <w:rsid w:val="002D5967"/>
    <w:rsid w:val="002E3413"/>
    <w:rsid w:val="002E3CFE"/>
    <w:rsid w:val="002F270A"/>
    <w:rsid w:val="002F489D"/>
    <w:rsid w:val="002F5B8C"/>
    <w:rsid w:val="002F70A7"/>
    <w:rsid w:val="002F7CF3"/>
    <w:rsid w:val="00300B3C"/>
    <w:rsid w:val="00306A1E"/>
    <w:rsid w:val="0031133F"/>
    <w:rsid w:val="00311695"/>
    <w:rsid w:val="003145AF"/>
    <w:rsid w:val="0031583F"/>
    <w:rsid w:val="00322B51"/>
    <w:rsid w:val="0032646F"/>
    <w:rsid w:val="00327932"/>
    <w:rsid w:val="00330FB2"/>
    <w:rsid w:val="00340E63"/>
    <w:rsid w:val="003415E0"/>
    <w:rsid w:val="00344594"/>
    <w:rsid w:val="0034697C"/>
    <w:rsid w:val="0035047C"/>
    <w:rsid w:val="0035514B"/>
    <w:rsid w:val="00357E2B"/>
    <w:rsid w:val="003615B5"/>
    <w:rsid w:val="00365AE1"/>
    <w:rsid w:val="00366A37"/>
    <w:rsid w:val="00366C16"/>
    <w:rsid w:val="003729A9"/>
    <w:rsid w:val="003752FE"/>
    <w:rsid w:val="00385EFB"/>
    <w:rsid w:val="003905D8"/>
    <w:rsid w:val="003944CE"/>
    <w:rsid w:val="0039627A"/>
    <w:rsid w:val="003A0CBA"/>
    <w:rsid w:val="003A4FC8"/>
    <w:rsid w:val="003A58FF"/>
    <w:rsid w:val="003A595B"/>
    <w:rsid w:val="003B1F5F"/>
    <w:rsid w:val="003B72F2"/>
    <w:rsid w:val="003B77EF"/>
    <w:rsid w:val="003C3ED0"/>
    <w:rsid w:val="003C7FEB"/>
    <w:rsid w:val="003D5663"/>
    <w:rsid w:val="003D700F"/>
    <w:rsid w:val="003E1FBB"/>
    <w:rsid w:val="003E2593"/>
    <w:rsid w:val="003E2C16"/>
    <w:rsid w:val="003E4773"/>
    <w:rsid w:val="003E5662"/>
    <w:rsid w:val="003E6F2B"/>
    <w:rsid w:val="003E7333"/>
    <w:rsid w:val="003F1CA3"/>
    <w:rsid w:val="003F74CC"/>
    <w:rsid w:val="0040704C"/>
    <w:rsid w:val="00413242"/>
    <w:rsid w:val="004148C5"/>
    <w:rsid w:val="00415677"/>
    <w:rsid w:val="0041656E"/>
    <w:rsid w:val="00420544"/>
    <w:rsid w:val="004215CF"/>
    <w:rsid w:val="0042373D"/>
    <w:rsid w:val="004246C4"/>
    <w:rsid w:val="00432C01"/>
    <w:rsid w:val="00433C1B"/>
    <w:rsid w:val="0043469B"/>
    <w:rsid w:val="004440E8"/>
    <w:rsid w:val="00445D34"/>
    <w:rsid w:val="00446F1C"/>
    <w:rsid w:val="004511F9"/>
    <w:rsid w:val="0045135E"/>
    <w:rsid w:val="0045136C"/>
    <w:rsid w:val="004526CF"/>
    <w:rsid w:val="00462234"/>
    <w:rsid w:val="00472EA3"/>
    <w:rsid w:val="00473709"/>
    <w:rsid w:val="0048484F"/>
    <w:rsid w:val="0048593E"/>
    <w:rsid w:val="0048688E"/>
    <w:rsid w:val="004963E7"/>
    <w:rsid w:val="00497C54"/>
    <w:rsid w:val="004A0C77"/>
    <w:rsid w:val="004A1E4D"/>
    <w:rsid w:val="004A5FBD"/>
    <w:rsid w:val="004A6391"/>
    <w:rsid w:val="004B505A"/>
    <w:rsid w:val="004D066C"/>
    <w:rsid w:val="004D0E88"/>
    <w:rsid w:val="004D4587"/>
    <w:rsid w:val="004D7CF8"/>
    <w:rsid w:val="004E1730"/>
    <w:rsid w:val="004E1D07"/>
    <w:rsid w:val="004E4108"/>
    <w:rsid w:val="004E5079"/>
    <w:rsid w:val="004F4573"/>
    <w:rsid w:val="004F69AA"/>
    <w:rsid w:val="0050647D"/>
    <w:rsid w:val="00511AAE"/>
    <w:rsid w:val="00512B1D"/>
    <w:rsid w:val="005166AF"/>
    <w:rsid w:val="005251EE"/>
    <w:rsid w:val="0053046C"/>
    <w:rsid w:val="00530C67"/>
    <w:rsid w:val="005363C1"/>
    <w:rsid w:val="00536CDA"/>
    <w:rsid w:val="00544475"/>
    <w:rsid w:val="00544859"/>
    <w:rsid w:val="00546524"/>
    <w:rsid w:val="00546E2D"/>
    <w:rsid w:val="0055695C"/>
    <w:rsid w:val="00560CCC"/>
    <w:rsid w:val="00564C75"/>
    <w:rsid w:val="005659C9"/>
    <w:rsid w:val="00571045"/>
    <w:rsid w:val="0057298A"/>
    <w:rsid w:val="0057408E"/>
    <w:rsid w:val="005767B6"/>
    <w:rsid w:val="00576D99"/>
    <w:rsid w:val="00580545"/>
    <w:rsid w:val="00581EF5"/>
    <w:rsid w:val="0058346E"/>
    <w:rsid w:val="00584666"/>
    <w:rsid w:val="005858EF"/>
    <w:rsid w:val="005960BE"/>
    <w:rsid w:val="00596175"/>
    <w:rsid w:val="005A6B6F"/>
    <w:rsid w:val="005B0F44"/>
    <w:rsid w:val="005B3461"/>
    <w:rsid w:val="005B5A85"/>
    <w:rsid w:val="005B754C"/>
    <w:rsid w:val="005B7E51"/>
    <w:rsid w:val="005C58DB"/>
    <w:rsid w:val="005C7DDA"/>
    <w:rsid w:val="005D4ACA"/>
    <w:rsid w:val="005E2CB7"/>
    <w:rsid w:val="005E6C6C"/>
    <w:rsid w:val="005E6F51"/>
    <w:rsid w:val="005F4A93"/>
    <w:rsid w:val="005F6BA6"/>
    <w:rsid w:val="005F75BE"/>
    <w:rsid w:val="00600BC4"/>
    <w:rsid w:val="006010F5"/>
    <w:rsid w:val="0060249E"/>
    <w:rsid w:val="00602EEE"/>
    <w:rsid w:val="00604113"/>
    <w:rsid w:val="00604B73"/>
    <w:rsid w:val="00611167"/>
    <w:rsid w:val="00611929"/>
    <w:rsid w:val="00614EE7"/>
    <w:rsid w:val="006152D8"/>
    <w:rsid w:val="00620E91"/>
    <w:rsid w:val="00621AF0"/>
    <w:rsid w:val="006220F1"/>
    <w:rsid w:val="0062567C"/>
    <w:rsid w:val="00626BE6"/>
    <w:rsid w:val="006270B6"/>
    <w:rsid w:val="00634D03"/>
    <w:rsid w:val="006369A8"/>
    <w:rsid w:val="00636C27"/>
    <w:rsid w:val="00636C8E"/>
    <w:rsid w:val="006440C0"/>
    <w:rsid w:val="00644A40"/>
    <w:rsid w:val="0064627D"/>
    <w:rsid w:val="00646960"/>
    <w:rsid w:val="006502B1"/>
    <w:rsid w:val="0065458D"/>
    <w:rsid w:val="00655E2A"/>
    <w:rsid w:val="00661A19"/>
    <w:rsid w:val="00664EAC"/>
    <w:rsid w:val="0067091C"/>
    <w:rsid w:val="006814B2"/>
    <w:rsid w:val="00683150"/>
    <w:rsid w:val="006854AB"/>
    <w:rsid w:val="0068550B"/>
    <w:rsid w:val="00685B4B"/>
    <w:rsid w:val="0068601A"/>
    <w:rsid w:val="00687560"/>
    <w:rsid w:val="006927E9"/>
    <w:rsid w:val="00695FBF"/>
    <w:rsid w:val="006A2C3D"/>
    <w:rsid w:val="006A3456"/>
    <w:rsid w:val="006A60C2"/>
    <w:rsid w:val="006A62D7"/>
    <w:rsid w:val="006A6D2A"/>
    <w:rsid w:val="006A7A60"/>
    <w:rsid w:val="006B799C"/>
    <w:rsid w:val="006C1F0D"/>
    <w:rsid w:val="006C2142"/>
    <w:rsid w:val="006C28A2"/>
    <w:rsid w:val="006C3D52"/>
    <w:rsid w:val="006D1B2C"/>
    <w:rsid w:val="006D794B"/>
    <w:rsid w:val="006E0822"/>
    <w:rsid w:val="006E6C4A"/>
    <w:rsid w:val="006F3D9C"/>
    <w:rsid w:val="006F5343"/>
    <w:rsid w:val="00700630"/>
    <w:rsid w:val="00714C70"/>
    <w:rsid w:val="007153A2"/>
    <w:rsid w:val="007156BD"/>
    <w:rsid w:val="00725570"/>
    <w:rsid w:val="007269EF"/>
    <w:rsid w:val="00726A2B"/>
    <w:rsid w:val="00730A99"/>
    <w:rsid w:val="00732281"/>
    <w:rsid w:val="0073465A"/>
    <w:rsid w:val="0073747C"/>
    <w:rsid w:val="00740634"/>
    <w:rsid w:val="007448DB"/>
    <w:rsid w:val="00746981"/>
    <w:rsid w:val="00746AA0"/>
    <w:rsid w:val="00746BA8"/>
    <w:rsid w:val="00750AB8"/>
    <w:rsid w:val="0075347C"/>
    <w:rsid w:val="00753F8C"/>
    <w:rsid w:val="0075478C"/>
    <w:rsid w:val="00772F86"/>
    <w:rsid w:val="00780D66"/>
    <w:rsid w:val="007824DD"/>
    <w:rsid w:val="00782C19"/>
    <w:rsid w:val="00793380"/>
    <w:rsid w:val="007935FA"/>
    <w:rsid w:val="00795B07"/>
    <w:rsid w:val="00796C06"/>
    <w:rsid w:val="007A1CC5"/>
    <w:rsid w:val="007A4C19"/>
    <w:rsid w:val="007A7C6A"/>
    <w:rsid w:val="007B67F3"/>
    <w:rsid w:val="007C2364"/>
    <w:rsid w:val="007C5436"/>
    <w:rsid w:val="007C5713"/>
    <w:rsid w:val="007C571C"/>
    <w:rsid w:val="007D23DB"/>
    <w:rsid w:val="007D2A92"/>
    <w:rsid w:val="007E27F2"/>
    <w:rsid w:val="007E2E7D"/>
    <w:rsid w:val="007E389F"/>
    <w:rsid w:val="007E4CE5"/>
    <w:rsid w:val="007E7332"/>
    <w:rsid w:val="007F1966"/>
    <w:rsid w:val="007F29AA"/>
    <w:rsid w:val="007F4815"/>
    <w:rsid w:val="007F493E"/>
    <w:rsid w:val="007F6965"/>
    <w:rsid w:val="00804C25"/>
    <w:rsid w:val="008057CF"/>
    <w:rsid w:val="00807E7B"/>
    <w:rsid w:val="008121E0"/>
    <w:rsid w:val="008143DD"/>
    <w:rsid w:val="0082040F"/>
    <w:rsid w:val="00821832"/>
    <w:rsid w:val="00824084"/>
    <w:rsid w:val="00826032"/>
    <w:rsid w:val="008264C5"/>
    <w:rsid w:val="00830674"/>
    <w:rsid w:val="00832275"/>
    <w:rsid w:val="008404B9"/>
    <w:rsid w:val="00841169"/>
    <w:rsid w:val="0084123B"/>
    <w:rsid w:val="008420A6"/>
    <w:rsid w:val="0084217D"/>
    <w:rsid w:val="00842BE9"/>
    <w:rsid w:val="0085098E"/>
    <w:rsid w:val="008545AE"/>
    <w:rsid w:val="00854D98"/>
    <w:rsid w:val="008550FB"/>
    <w:rsid w:val="0086056C"/>
    <w:rsid w:val="0086358B"/>
    <w:rsid w:val="00863AFF"/>
    <w:rsid w:val="008668D2"/>
    <w:rsid w:val="00867523"/>
    <w:rsid w:val="0087155F"/>
    <w:rsid w:val="0087249F"/>
    <w:rsid w:val="0087293F"/>
    <w:rsid w:val="00873675"/>
    <w:rsid w:val="00876F0B"/>
    <w:rsid w:val="00885A10"/>
    <w:rsid w:val="00886B45"/>
    <w:rsid w:val="008879A3"/>
    <w:rsid w:val="00891C42"/>
    <w:rsid w:val="00893016"/>
    <w:rsid w:val="008A54DE"/>
    <w:rsid w:val="008B1BE1"/>
    <w:rsid w:val="008B1D7F"/>
    <w:rsid w:val="008B256D"/>
    <w:rsid w:val="008B626F"/>
    <w:rsid w:val="008C1751"/>
    <w:rsid w:val="008C524F"/>
    <w:rsid w:val="008D2401"/>
    <w:rsid w:val="008E46A5"/>
    <w:rsid w:val="008E59A6"/>
    <w:rsid w:val="008E75ED"/>
    <w:rsid w:val="0090021C"/>
    <w:rsid w:val="00907566"/>
    <w:rsid w:val="0091065B"/>
    <w:rsid w:val="00914D1E"/>
    <w:rsid w:val="009205A6"/>
    <w:rsid w:val="00923083"/>
    <w:rsid w:val="009250DA"/>
    <w:rsid w:val="0092752C"/>
    <w:rsid w:val="0093097C"/>
    <w:rsid w:val="00932790"/>
    <w:rsid w:val="00932FC0"/>
    <w:rsid w:val="00934BF1"/>
    <w:rsid w:val="00937350"/>
    <w:rsid w:val="00937B7B"/>
    <w:rsid w:val="009408E0"/>
    <w:rsid w:val="00940DF3"/>
    <w:rsid w:val="00942BE9"/>
    <w:rsid w:val="00954E91"/>
    <w:rsid w:val="00956506"/>
    <w:rsid w:val="009571D7"/>
    <w:rsid w:val="00962410"/>
    <w:rsid w:val="00962AAF"/>
    <w:rsid w:val="009650B6"/>
    <w:rsid w:val="00965ACE"/>
    <w:rsid w:val="00967329"/>
    <w:rsid w:val="00973478"/>
    <w:rsid w:val="00975ABE"/>
    <w:rsid w:val="00982C97"/>
    <w:rsid w:val="00991338"/>
    <w:rsid w:val="0099141B"/>
    <w:rsid w:val="00993938"/>
    <w:rsid w:val="00994232"/>
    <w:rsid w:val="00994730"/>
    <w:rsid w:val="009949DB"/>
    <w:rsid w:val="00995121"/>
    <w:rsid w:val="009A2830"/>
    <w:rsid w:val="009A53BF"/>
    <w:rsid w:val="009A59DF"/>
    <w:rsid w:val="009B4F90"/>
    <w:rsid w:val="009C4E5B"/>
    <w:rsid w:val="009C7D31"/>
    <w:rsid w:val="009D408E"/>
    <w:rsid w:val="009D6DE3"/>
    <w:rsid w:val="009E0A1D"/>
    <w:rsid w:val="009E0C1D"/>
    <w:rsid w:val="009E3963"/>
    <w:rsid w:val="009E490D"/>
    <w:rsid w:val="009F00AD"/>
    <w:rsid w:val="009F2D34"/>
    <w:rsid w:val="009F4356"/>
    <w:rsid w:val="009F4B82"/>
    <w:rsid w:val="009F6AE7"/>
    <w:rsid w:val="009F6F73"/>
    <w:rsid w:val="00A001C8"/>
    <w:rsid w:val="00A029E7"/>
    <w:rsid w:val="00A02D77"/>
    <w:rsid w:val="00A05A0A"/>
    <w:rsid w:val="00A06280"/>
    <w:rsid w:val="00A066D2"/>
    <w:rsid w:val="00A1050F"/>
    <w:rsid w:val="00A14BAA"/>
    <w:rsid w:val="00A22FCA"/>
    <w:rsid w:val="00A249AE"/>
    <w:rsid w:val="00A25C9A"/>
    <w:rsid w:val="00A306CE"/>
    <w:rsid w:val="00A3189C"/>
    <w:rsid w:val="00A33816"/>
    <w:rsid w:val="00A34C93"/>
    <w:rsid w:val="00A403FE"/>
    <w:rsid w:val="00A40DBC"/>
    <w:rsid w:val="00A41F88"/>
    <w:rsid w:val="00A437D3"/>
    <w:rsid w:val="00A44988"/>
    <w:rsid w:val="00A51A6B"/>
    <w:rsid w:val="00A563B8"/>
    <w:rsid w:val="00A615C4"/>
    <w:rsid w:val="00A678E3"/>
    <w:rsid w:val="00A708BE"/>
    <w:rsid w:val="00A7598F"/>
    <w:rsid w:val="00A76B14"/>
    <w:rsid w:val="00A93999"/>
    <w:rsid w:val="00A94F11"/>
    <w:rsid w:val="00AA407D"/>
    <w:rsid w:val="00AA4482"/>
    <w:rsid w:val="00AA63F1"/>
    <w:rsid w:val="00AA7D44"/>
    <w:rsid w:val="00AB00AF"/>
    <w:rsid w:val="00AB0458"/>
    <w:rsid w:val="00AB20E0"/>
    <w:rsid w:val="00AB289A"/>
    <w:rsid w:val="00AB2ADC"/>
    <w:rsid w:val="00AB4359"/>
    <w:rsid w:val="00AB4CFF"/>
    <w:rsid w:val="00AC55C3"/>
    <w:rsid w:val="00AD25D9"/>
    <w:rsid w:val="00AD4D7A"/>
    <w:rsid w:val="00AD564F"/>
    <w:rsid w:val="00AD66C4"/>
    <w:rsid w:val="00AE118A"/>
    <w:rsid w:val="00AF15FE"/>
    <w:rsid w:val="00AF268A"/>
    <w:rsid w:val="00AF3DC0"/>
    <w:rsid w:val="00AF4034"/>
    <w:rsid w:val="00AF4519"/>
    <w:rsid w:val="00AF4FE5"/>
    <w:rsid w:val="00AF5D17"/>
    <w:rsid w:val="00AF60C3"/>
    <w:rsid w:val="00AF679E"/>
    <w:rsid w:val="00B04716"/>
    <w:rsid w:val="00B1447D"/>
    <w:rsid w:val="00B15C8A"/>
    <w:rsid w:val="00B225F5"/>
    <w:rsid w:val="00B232B5"/>
    <w:rsid w:val="00B25D59"/>
    <w:rsid w:val="00B27E7C"/>
    <w:rsid w:val="00B56CF2"/>
    <w:rsid w:val="00B56DDD"/>
    <w:rsid w:val="00B5774F"/>
    <w:rsid w:val="00B57AD4"/>
    <w:rsid w:val="00B57B5D"/>
    <w:rsid w:val="00B60A90"/>
    <w:rsid w:val="00B60C9E"/>
    <w:rsid w:val="00B61155"/>
    <w:rsid w:val="00B61564"/>
    <w:rsid w:val="00B67CB5"/>
    <w:rsid w:val="00B71BBF"/>
    <w:rsid w:val="00B74393"/>
    <w:rsid w:val="00B84A26"/>
    <w:rsid w:val="00B859E8"/>
    <w:rsid w:val="00B874F6"/>
    <w:rsid w:val="00B92606"/>
    <w:rsid w:val="00B93051"/>
    <w:rsid w:val="00B9322E"/>
    <w:rsid w:val="00B964EC"/>
    <w:rsid w:val="00BA1D69"/>
    <w:rsid w:val="00BB0A5E"/>
    <w:rsid w:val="00BB0DC3"/>
    <w:rsid w:val="00BB47E1"/>
    <w:rsid w:val="00BC57AD"/>
    <w:rsid w:val="00BC6D2F"/>
    <w:rsid w:val="00BC7D67"/>
    <w:rsid w:val="00BD092B"/>
    <w:rsid w:val="00BD4168"/>
    <w:rsid w:val="00BD4B5B"/>
    <w:rsid w:val="00BD6979"/>
    <w:rsid w:val="00BE2909"/>
    <w:rsid w:val="00BE39F0"/>
    <w:rsid w:val="00BE4E0E"/>
    <w:rsid w:val="00BF004F"/>
    <w:rsid w:val="00BF3769"/>
    <w:rsid w:val="00BF5B82"/>
    <w:rsid w:val="00C01C42"/>
    <w:rsid w:val="00C05740"/>
    <w:rsid w:val="00C05906"/>
    <w:rsid w:val="00C06392"/>
    <w:rsid w:val="00C168A5"/>
    <w:rsid w:val="00C20E76"/>
    <w:rsid w:val="00C23062"/>
    <w:rsid w:val="00C23299"/>
    <w:rsid w:val="00C26958"/>
    <w:rsid w:val="00C33791"/>
    <w:rsid w:val="00C35643"/>
    <w:rsid w:val="00C37941"/>
    <w:rsid w:val="00C45A52"/>
    <w:rsid w:val="00C517B9"/>
    <w:rsid w:val="00C52505"/>
    <w:rsid w:val="00C550B0"/>
    <w:rsid w:val="00C56492"/>
    <w:rsid w:val="00C56A79"/>
    <w:rsid w:val="00C61852"/>
    <w:rsid w:val="00C635B4"/>
    <w:rsid w:val="00C64B5F"/>
    <w:rsid w:val="00C656BB"/>
    <w:rsid w:val="00C71D5E"/>
    <w:rsid w:val="00C72954"/>
    <w:rsid w:val="00C75A0D"/>
    <w:rsid w:val="00C80CA6"/>
    <w:rsid w:val="00C81B60"/>
    <w:rsid w:val="00C85589"/>
    <w:rsid w:val="00CB5477"/>
    <w:rsid w:val="00CB6EF8"/>
    <w:rsid w:val="00CC0A50"/>
    <w:rsid w:val="00CC1A25"/>
    <w:rsid w:val="00CC4069"/>
    <w:rsid w:val="00CC6011"/>
    <w:rsid w:val="00CD0715"/>
    <w:rsid w:val="00CD45A0"/>
    <w:rsid w:val="00CD7A8B"/>
    <w:rsid w:val="00CE0A06"/>
    <w:rsid w:val="00CE125A"/>
    <w:rsid w:val="00CF5C4C"/>
    <w:rsid w:val="00CF6099"/>
    <w:rsid w:val="00CF7093"/>
    <w:rsid w:val="00D016C4"/>
    <w:rsid w:val="00D020F8"/>
    <w:rsid w:val="00D047A0"/>
    <w:rsid w:val="00D05A02"/>
    <w:rsid w:val="00D129CA"/>
    <w:rsid w:val="00D170B1"/>
    <w:rsid w:val="00D17877"/>
    <w:rsid w:val="00D228BA"/>
    <w:rsid w:val="00D2410D"/>
    <w:rsid w:val="00D313CF"/>
    <w:rsid w:val="00D34FBD"/>
    <w:rsid w:val="00D43583"/>
    <w:rsid w:val="00D45938"/>
    <w:rsid w:val="00D53A3E"/>
    <w:rsid w:val="00D67D2C"/>
    <w:rsid w:val="00D746F1"/>
    <w:rsid w:val="00D761DB"/>
    <w:rsid w:val="00D762E5"/>
    <w:rsid w:val="00D94183"/>
    <w:rsid w:val="00D9503F"/>
    <w:rsid w:val="00D958B4"/>
    <w:rsid w:val="00DA0BDA"/>
    <w:rsid w:val="00DA2C8F"/>
    <w:rsid w:val="00DA590A"/>
    <w:rsid w:val="00DC0CC7"/>
    <w:rsid w:val="00DC2152"/>
    <w:rsid w:val="00DC2229"/>
    <w:rsid w:val="00DC375D"/>
    <w:rsid w:val="00DC7893"/>
    <w:rsid w:val="00DD19A4"/>
    <w:rsid w:val="00DD2BE2"/>
    <w:rsid w:val="00DD6889"/>
    <w:rsid w:val="00DD7951"/>
    <w:rsid w:val="00DE1EED"/>
    <w:rsid w:val="00DE2822"/>
    <w:rsid w:val="00DF7185"/>
    <w:rsid w:val="00E0152A"/>
    <w:rsid w:val="00E10552"/>
    <w:rsid w:val="00E1313A"/>
    <w:rsid w:val="00E133A1"/>
    <w:rsid w:val="00E14A11"/>
    <w:rsid w:val="00E30A7C"/>
    <w:rsid w:val="00E313C7"/>
    <w:rsid w:val="00E3162F"/>
    <w:rsid w:val="00E32253"/>
    <w:rsid w:val="00E33C86"/>
    <w:rsid w:val="00E36D6D"/>
    <w:rsid w:val="00E40D85"/>
    <w:rsid w:val="00E410A0"/>
    <w:rsid w:val="00E449A8"/>
    <w:rsid w:val="00E5139F"/>
    <w:rsid w:val="00E54EC1"/>
    <w:rsid w:val="00E5713A"/>
    <w:rsid w:val="00E617DF"/>
    <w:rsid w:val="00E61CFE"/>
    <w:rsid w:val="00E64F92"/>
    <w:rsid w:val="00E67FA5"/>
    <w:rsid w:val="00E74FBB"/>
    <w:rsid w:val="00E76304"/>
    <w:rsid w:val="00E8092C"/>
    <w:rsid w:val="00E8293A"/>
    <w:rsid w:val="00E84009"/>
    <w:rsid w:val="00E84A34"/>
    <w:rsid w:val="00E90BC5"/>
    <w:rsid w:val="00E947E1"/>
    <w:rsid w:val="00E96727"/>
    <w:rsid w:val="00E9688E"/>
    <w:rsid w:val="00EA4B64"/>
    <w:rsid w:val="00EA7BA1"/>
    <w:rsid w:val="00EB00DB"/>
    <w:rsid w:val="00EB0A2B"/>
    <w:rsid w:val="00EC0AC5"/>
    <w:rsid w:val="00EC25F3"/>
    <w:rsid w:val="00EC2756"/>
    <w:rsid w:val="00ED0387"/>
    <w:rsid w:val="00ED0869"/>
    <w:rsid w:val="00ED37B9"/>
    <w:rsid w:val="00ED387A"/>
    <w:rsid w:val="00ED5D51"/>
    <w:rsid w:val="00ED7A03"/>
    <w:rsid w:val="00EE462B"/>
    <w:rsid w:val="00EE4A7D"/>
    <w:rsid w:val="00EE66CE"/>
    <w:rsid w:val="00EE72C4"/>
    <w:rsid w:val="00EF08F1"/>
    <w:rsid w:val="00EF4630"/>
    <w:rsid w:val="00F02B25"/>
    <w:rsid w:val="00F05978"/>
    <w:rsid w:val="00F05F58"/>
    <w:rsid w:val="00F0708B"/>
    <w:rsid w:val="00F10231"/>
    <w:rsid w:val="00F14448"/>
    <w:rsid w:val="00F153A1"/>
    <w:rsid w:val="00F16272"/>
    <w:rsid w:val="00F23892"/>
    <w:rsid w:val="00F25267"/>
    <w:rsid w:val="00F30E4B"/>
    <w:rsid w:val="00F35463"/>
    <w:rsid w:val="00F36591"/>
    <w:rsid w:val="00F4088D"/>
    <w:rsid w:val="00F451A2"/>
    <w:rsid w:val="00F472BD"/>
    <w:rsid w:val="00F531D0"/>
    <w:rsid w:val="00F55224"/>
    <w:rsid w:val="00F74038"/>
    <w:rsid w:val="00F7426C"/>
    <w:rsid w:val="00F742D0"/>
    <w:rsid w:val="00F81BE8"/>
    <w:rsid w:val="00F84173"/>
    <w:rsid w:val="00F87FEB"/>
    <w:rsid w:val="00F904D1"/>
    <w:rsid w:val="00F90C82"/>
    <w:rsid w:val="00F916F4"/>
    <w:rsid w:val="00F942D8"/>
    <w:rsid w:val="00F9480C"/>
    <w:rsid w:val="00F95F01"/>
    <w:rsid w:val="00F96E40"/>
    <w:rsid w:val="00FA1309"/>
    <w:rsid w:val="00FA1ED2"/>
    <w:rsid w:val="00FA219D"/>
    <w:rsid w:val="00FA3990"/>
    <w:rsid w:val="00FA43AC"/>
    <w:rsid w:val="00FA5204"/>
    <w:rsid w:val="00FA5A2C"/>
    <w:rsid w:val="00FA7E32"/>
    <w:rsid w:val="00FB07C0"/>
    <w:rsid w:val="00FB4E71"/>
    <w:rsid w:val="00FB5ADC"/>
    <w:rsid w:val="00FC1D62"/>
    <w:rsid w:val="00FC264B"/>
    <w:rsid w:val="00FC4C36"/>
    <w:rsid w:val="00FD44B6"/>
    <w:rsid w:val="00FD6C74"/>
    <w:rsid w:val="00FE002C"/>
    <w:rsid w:val="00FE2D0B"/>
    <w:rsid w:val="00FE352A"/>
    <w:rsid w:val="00FE4D45"/>
    <w:rsid w:val="00FE6BDD"/>
    <w:rsid w:val="00FF36FD"/>
    <w:rsid w:val="00FF42A5"/>
    <w:rsid w:val="00FF42C3"/>
    <w:rsid w:val="00FF5FB6"/>
    <w:rsid w:val="00FF704A"/>
    <w:rsid w:val="129232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3"/>
    <w:qFormat/>
    <w:uiPriority w:val="9"/>
    <w:pPr>
      <w:keepNext/>
      <w:keepLines/>
      <w:numPr>
        <w:ilvl w:val="0"/>
        <w:numId w:val="1"/>
      </w:numPr>
      <w:spacing w:before="340" w:after="330" w:line="360" w:lineRule="auto"/>
      <w:ind w:left="420"/>
      <w:jc w:val="center"/>
      <w:outlineLvl w:val="0"/>
    </w:pPr>
    <w:rPr>
      <w:rFonts w:ascii="黑体" w:hAnsi="黑体" w:eastAsia="黑体" w:cs="宋体"/>
      <w:b/>
      <w:bCs/>
      <w:color w:val="711907" w:themeColor="accent5" w:themeShade="BF"/>
      <w:kern w:val="44"/>
      <w:sz w:val="32"/>
      <w:szCs w:val="32"/>
      <w:u w:color="000000"/>
      <w:lang w:val="zh-TW"/>
    </w:rPr>
  </w:style>
  <w:style w:type="paragraph" w:styleId="3">
    <w:name w:val="heading 2"/>
    <w:basedOn w:val="1"/>
    <w:next w:val="1"/>
    <w:link w:val="38"/>
    <w:unhideWhenUsed/>
    <w:qFormat/>
    <w:uiPriority w:val="9"/>
    <w:pPr>
      <w:keepNext/>
      <w:keepLines/>
      <w:spacing w:before="260" w:after="260" w:line="360" w:lineRule="auto"/>
      <w:outlineLvl w:val="1"/>
    </w:pPr>
    <w:rPr>
      <w:rFonts w:ascii="黑体" w:hAnsi="黑体" w:eastAsia="黑体" w:cs="Times New Roman"/>
      <w:b/>
      <w:bCs/>
      <w:color w:val="711907" w:themeColor="accent5" w:themeShade="BF"/>
      <w:sz w:val="30"/>
      <w:szCs w:val="30"/>
      <w:u w:color="000000"/>
      <w:lang w:val="zh-TW"/>
    </w:rPr>
  </w:style>
  <w:style w:type="paragraph" w:styleId="4">
    <w:name w:val="heading 3"/>
    <w:basedOn w:val="1"/>
    <w:next w:val="1"/>
    <w:link w:val="39"/>
    <w:unhideWhenUsed/>
    <w:qFormat/>
    <w:uiPriority w:val="9"/>
    <w:pPr>
      <w:keepNext/>
      <w:keepLines/>
      <w:spacing w:line="360" w:lineRule="auto"/>
      <w:outlineLvl w:val="2"/>
    </w:pPr>
    <w:rPr>
      <w:rFonts w:ascii="黑体" w:hAnsi="黑体" w:eastAsia="黑体" w:cs="宋体"/>
      <w:b/>
      <w:bCs/>
      <w:color w:val="711907" w:themeColor="accent5" w:themeShade="BF"/>
      <w:sz w:val="24"/>
      <w:szCs w:val="32"/>
      <w:u w:color="000000"/>
      <w:lang w:val="zh-TW" w:eastAsia="zh-TW"/>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48"/>
    <w:semiHidden/>
    <w:unhideWhenUsed/>
    <w:uiPriority w:val="99"/>
    <w:pPr>
      <w:widowControl w:val="0"/>
      <w:pBdr>
        <w:top w:val="none" w:color="auto" w:sz="0" w:space="0"/>
        <w:left w:val="none" w:color="auto" w:sz="0" w:space="0"/>
        <w:bottom w:val="none" w:color="auto" w:sz="0" w:space="0"/>
        <w:right w:val="none" w:color="auto" w:sz="0" w:space="0"/>
        <w:between w:val="none" w:color="auto" w:sz="0" w:space="0"/>
      </w:pBdr>
    </w:pPr>
    <w:rPr>
      <w:rFonts w:asciiTheme="minorHAnsi" w:hAnsiTheme="minorHAnsi" w:eastAsiaTheme="minorEastAsia" w:cstheme="minorBidi"/>
      <w:b/>
      <w:bCs/>
      <w:color w:val="auto"/>
      <w:kern w:val="2"/>
      <w:sz w:val="21"/>
    </w:rPr>
  </w:style>
  <w:style w:type="paragraph" w:styleId="6">
    <w:name w:val="annotation text"/>
    <w:basedOn w:val="1"/>
    <w:link w:val="41"/>
    <w:semiHidden/>
    <w:unhideWhenUsed/>
    <w:qFormat/>
    <w:uiPriority w:val="99"/>
    <w:pPr>
      <w:widowControl/>
      <w:pBdr>
        <w:top w:val="none" w:color="auto" w:sz="0" w:space="0"/>
        <w:left w:val="none" w:color="auto" w:sz="0" w:space="0"/>
        <w:bottom w:val="none" w:color="auto" w:sz="0" w:space="0"/>
        <w:right w:val="none" w:color="auto" w:sz="0" w:space="0"/>
        <w:between w:val="none" w:color="auto" w:sz="0" w:space="0"/>
      </w:pBdr>
      <w:jc w:val="left"/>
    </w:pPr>
    <w:rPr>
      <w:rFonts w:ascii="Helvetica" w:hAnsi="Arial Unicode MS" w:eastAsia="Arial Unicode MS" w:cs="Arial Unicode MS"/>
      <w:color w:val="000000"/>
      <w:kern w:val="0"/>
      <w:sz w:val="22"/>
    </w:rPr>
  </w:style>
  <w:style w:type="paragraph" w:styleId="7">
    <w:name w:val="toc 3"/>
    <w:basedOn w:val="1"/>
    <w:next w:val="1"/>
    <w:unhideWhenUsed/>
    <w:uiPriority w:val="39"/>
    <w:pPr>
      <w:ind w:left="840" w:leftChars="400"/>
    </w:pPr>
  </w:style>
  <w:style w:type="paragraph" w:styleId="8">
    <w:name w:val="Balloon Text"/>
    <w:basedOn w:val="1"/>
    <w:link w:val="35"/>
    <w:semiHidden/>
    <w:unhideWhenUsed/>
    <w:qFormat/>
    <w:uiPriority w:val="99"/>
    <w:rPr>
      <w:sz w:val="18"/>
      <w:szCs w:val="18"/>
    </w:rPr>
  </w:style>
  <w:style w:type="paragraph" w:styleId="9">
    <w:name w:val="footer"/>
    <w:basedOn w:val="1"/>
    <w:link w:val="34"/>
    <w:unhideWhenUsed/>
    <w:qFormat/>
    <w:uiPriority w:val="99"/>
    <w:pPr>
      <w:tabs>
        <w:tab w:val="center" w:pos="4153"/>
        <w:tab w:val="right" w:pos="8306"/>
      </w:tabs>
      <w:snapToGrid w:val="0"/>
      <w:jc w:val="left"/>
    </w:pPr>
    <w:rPr>
      <w:rFonts w:ascii="Calibri" w:hAnsi="Calibri" w:eastAsia="Calibri" w:cs="Calibri"/>
      <w:color w:val="000000"/>
      <w:sz w:val="18"/>
      <w:szCs w:val="18"/>
      <w:u w:color="000000"/>
      <w:lang w:eastAsia="en-US"/>
    </w:rPr>
  </w:style>
  <w:style w:type="paragraph" w:styleId="10">
    <w:name w:val="header"/>
    <w:basedOn w:val="1"/>
    <w:link w:val="43"/>
    <w:unhideWhenUsed/>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uiPriority w:val="39"/>
    <w:pPr>
      <w:tabs>
        <w:tab w:val="left" w:pos="735"/>
        <w:tab w:val="right" w:leader="dot" w:pos="8296"/>
      </w:tabs>
    </w:pPr>
    <w:rPr>
      <w:b/>
    </w:rPr>
  </w:style>
  <w:style w:type="paragraph" w:styleId="12">
    <w:name w:val="footnote text"/>
    <w:basedOn w:val="1"/>
    <w:link w:val="44"/>
    <w:semiHidden/>
    <w:unhideWhenUsed/>
    <w:uiPriority w:val="99"/>
    <w:pPr>
      <w:snapToGrid w:val="0"/>
      <w:jc w:val="left"/>
    </w:pPr>
    <w:rPr>
      <w:sz w:val="18"/>
      <w:szCs w:val="18"/>
    </w:rPr>
  </w:style>
  <w:style w:type="paragraph" w:styleId="13">
    <w:name w:val="toc 2"/>
    <w:basedOn w:val="1"/>
    <w:next w:val="1"/>
    <w:unhideWhenUsed/>
    <w:uiPriority w:val="39"/>
    <w:pPr>
      <w:ind w:left="420" w:leftChars="200"/>
    </w:pPr>
  </w:style>
  <w:style w:type="paragraph" w:styleId="14">
    <w:name w:val="Normal (Web)"/>
    <w:basedOn w:val="1"/>
    <w:unhideWhenUsed/>
    <w:uiPriority w:val="99"/>
    <w:pPr>
      <w:widowControl/>
      <w:spacing w:before="100" w:beforeAutospacing="1" w:after="100" w:afterAutospacing="1"/>
      <w:jc w:val="left"/>
    </w:pPr>
    <w:rPr>
      <w:rFonts w:ascii="宋体" w:hAnsi="宋体" w:eastAsia="宋体" w:cs="宋体"/>
      <w:color w:val="000000"/>
      <w:kern w:val="0"/>
      <w:sz w:val="24"/>
      <w:szCs w:val="24"/>
      <w:u w:color="000000"/>
      <w:lang w:eastAsia="en-US"/>
    </w:rPr>
  </w:style>
  <w:style w:type="paragraph" w:styleId="15">
    <w:name w:val="Title"/>
    <w:basedOn w:val="1"/>
    <w:next w:val="1"/>
    <w:link w:val="46"/>
    <w:qFormat/>
    <w:uiPriority w:val="10"/>
    <w:pPr>
      <w:spacing w:before="240" w:after="60"/>
      <w:jc w:val="left"/>
      <w:outlineLvl w:val="0"/>
    </w:pPr>
    <w:rPr>
      <w:rFonts w:ascii="Cambria" w:hAnsi="Cambria" w:eastAsia="宋体" w:cs="Times New Roman"/>
      <w:b/>
      <w:bCs/>
      <w:sz w:val="32"/>
      <w:szCs w:val="32"/>
      <w:u w:color="000000"/>
    </w:rPr>
  </w:style>
  <w:style w:type="character" w:styleId="17">
    <w:name w:val="Hyperlink"/>
    <w:basedOn w:val="16"/>
    <w:unhideWhenUsed/>
    <w:uiPriority w:val="99"/>
    <w:rPr>
      <w:color w:val="CC9900"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styleId="19">
    <w:name w:val="footnote reference"/>
    <w:basedOn w:val="16"/>
    <w:semiHidden/>
    <w:unhideWhenUsed/>
    <w:uiPriority w:val="99"/>
    <w:rPr>
      <w:vertAlign w:val="superscript"/>
    </w:rPr>
  </w:style>
  <w:style w:type="table" w:styleId="21">
    <w:name w:val="Table Grid"/>
    <w:basedOn w:val="20"/>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22">
    <w:name w:val="Light List Accent 1"/>
    <w:basedOn w:val="20"/>
    <w:uiPriority w:val="61"/>
    <w:tblPr>
      <w:tblBorders>
        <w:top w:val="single" w:color="873624" w:themeColor="accent1" w:sz="8" w:space="0"/>
        <w:left w:val="single" w:color="873624" w:themeColor="accent1" w:sz="8" w:space="0"/>
        <w:bottom w:val="single" w:color="873624" w:themeColor="accent1" w:sz="8" w:space="0"/>
        <w:right w:val="single" w:color="873624"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shd w:val="clear" w:color="auto" w:fill="873624" w:themeFill="accent1"/>
      </w:tcPr>
    </w:tblStylePr>
    <w:tblStylePr w:type="lastRow">
      <w:pPr>
        <w:spacing w:before="0" w:after="0" w:line="240" w:lineRule="auto"/>
      </w:pPr>
      <w:rPr>
        <w:b/>
        <w:bCs/>
      </w:rPr>
      <w:tblPr>
        <w:tblLayout w:type="fixed"/>
      </w:tblPr>
      <w:tcPr>
        <w:tcBorders>
          <w:top w:val="double" w:color="873624" w:themeColor="accent1" w:sz="6" w:space="0"/>
          <w:left w:val="single" w:color="873624" w:themeColor="accent1" w:sz="8" w:space="0"/>
          <w:bottom w:val="single" w:color="873624" w:themeColor="accent1" w:sz="8" w:space="0"/>
          <w:right w:val="single" w:color="873624" w:themeColor="accent1" w:sz="8" w:space="0"/>
        </w:tcBorders>
      </w:tcPr>
    </w:tblStylePr>
    <w:tblStylePr w:type="firstCol">
      <w:rPr>
        <w:b/>
        <w:bCs/>
      </w:rPr>
    </w:tblStylePr>
    <w:tblStylePr w:type="lastCol">
      <w:rPr>
        <w:b/>
        <w:bCs/>
      </w:rPr>
    </w:tblStylePr>
    <w:tblStylePr w:type="band1Vert">
      <w:tblPr>
        <w:tblLayout w:type="fixed"/>
      </w:tblPr>
      <w:tcPr>
        <w:tcBorders>
          <w:top w:val="single" w:color="873624" w:themeColor="accent1" w:sz="8" w:space="0"/>
          <w:left w:val="single" w:color="873624" w:themeColor="accent1" w:sz="8" w:space="0"/>
          <w:bottom w:val="single" w:color="873624" w:themeColor="accent1" w:sz="8" w:space="0"/>
          <w:right w:val="single" w:color="873624" w:themeColor="accent1" w:sz="8" w:space="0"/>
        </w:tcBorders>
      </w:tcPr>
    </w:tblStylePr>
    <w:tblStylePr w:type="band1Horz">
      <w:tblPr>
        <w:tblLayout w:type="fixed"/>
      </w:tblPr>
      <w:tcPr>
        <w:tcBorders>
          <w:top w:val="single" w:color="873624" w:themeColor="accent1" w:sz="8" w:space="0"/>
          <w:left w:val="single" w:color="873624" w:themeColor="accent1" w:sz="8" w:space="0"/>
          <w:bottom w:val="single" w:color="873624" w:themeColor="accent1" w:sz="8" w:space="0"/>
          <w:right w:val="single" w:color="873624" w:themeColor="accent1" w:sz="8" w:space="0"/>
        </w:tcBorders>
      </w:tcPr>
    </w:tblStylePr>
  </w:style>
  <w:style w:type="table" w:styleId="23">
    <w:name w:val="Light Grid Accent 2"/>
    <w:basedOn w:val="20"/>
    <w:uiPriority w:val="62"/>
    <w:tblPr>
      <w:tblBorders>
        <w:top w:val="single" w:color="D6862D" w:themeColor="accent2" w:sz="8" w:space="0"/>
        <w:left w:val="single" w:color="D6862D" w:themeColor="accent2" w:sz="8" w:space="0"/>
        <w:bottom w:val="single" w:color="D6862D" w:themeColor="accent2" w:sz="8" w:space="0"/>
        <w:right w:val="single" w:color="D6862D" w:themeColor="accent2" w:sz="8" w:space="0"/>
        <w:insideH w:val="single" w:color="D6862D" w:themeColor="accent2" w:sz="8" w:space="0"/>
        <w:insideV w:val="single" w:color="D6862D" w:themeColor="accent2" w:sz="8" w:space="0"/>
      </w:tblBorders>
      <w:tblLayout w:type="fixed"/>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blLayout w:type="fixed"/>
      </w:tblPr>
      <w:tcPr>
        <w:tcBorders>
          <w:top w:val="single" w:color="D6862D" w:themeColor="accent2" w:sz="8" w:space="0"/>
          <w:left w:val="single" w:color="D6862D" w:themeColor="accent2" w:sz="8" w:space="0"/>
          <w:bottom w:val="single" w:color="D6862D" w:themeColor="accent2" w:sz="18" w:space="0"/>
          <w:right w:val="single" w:color="D6862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blLayout w:type="fixed"/>
      </w:tblPr>
      <w:tcPr>
        <w:tcBorders>
          <w:top w:val="double" w:color="D6862D" w:themeColor="accent2" w:sz="6" w:space="0"/>
          <w:left w:val="single" w:color="D6862D" w:themeColor="accent2" w:sz="8" w:space="0"/>
          <w:bottom w:val="single" w:color="D6862D" w:themeColor="accent2" w:sz="8" w:space="0"/>
          <w:right w:val="single" w:color="D6862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blLayout w:type="fixed"/>
      </w:tblPr>
      <w:tcPr>
        <w:tcBorders>
          <w:top w:val="single" w:color="D6862D" w:themeColor="accent2" w:sz="8" w:space="0"/>
          <w:left w:val="single" w:color="D6862D" w:themeColor="accent2" w:sz="8" w:space="0"/>
          <w:bottom w:val="single" w:color="D6862D" w:themeColor="accent2" w:sz="8" w:space="0"/>
          <w:right w:val="single" w:color="D6862D" w:themeColor="accent2" w:sz="8" w:space="0"/>
        </w:tcBorders>
      </w:tcPr>
    </w:tblStylePr>
    <w:tblStylePr w:type="band1Vert">
      <w:tblPr>
        <w:tblLayout w:type="fixed"/>
      </w:tblPr>
      <w:tcPr>
        <w:tcBorders>
          <w:top w:val="single" w:color="D6862D" w:themeColor="accent2" w:sz="8" w:space="0"/>
          <w:left w:val="single" w:color="D6862D" w:themeColor="accent2" w:sz="8" w:space="0"/>
          <w:bottom w:val="single" w:color="D6862D" w:themeColor="accent2" w:sz="8" w:space="0"/>
          <w:right w:val="single" w:color="D6862D" w:themeColor="accent2" w:sz="8" w:space="0"/>
        </w:tcBorders>
        <w:shd w:val="clear" w:color="auto" w:fill="F4E1CB" w:themeFill="accent2" w:themeFillTint="3F"/>
      </w:tcPr>
    </w:tblStylePr>
    <w:tblStylePr w:type="band1Horz">
      <w:tblPr>
        <w:tblLayout w:type="fixed"/>
      </w:tblPr>
      <w:tcPr>
        <w:tcBorders>
          <w:top w:val="single" w:color="D6862D" w:themeColor="accent2" w:sz="8" w:space="0"/>
          <w:left w:val="single" w:color="D6862D" w:themeColor="accent2" w:sz="8" w:space="0"/>
          <w:bottom w:val="single" w:color="D6862D" w:themeColor="accent2" w:sz="8" w:space="0"/>
          <w:right w:val="single" w:color="D6862D" w:themeColor="accent2" w:sz="8" w:space="0"/>
          <w:insideV w:val="single" w:sz="8" w:space="0"/>
        </w:tcBorders>
        <w:shd w:val="clear" w:color="auto" w:fill="F4E1CB" w:themeFill="accent2" w:themeFillTint="3F"/>
      </w:tcPr>
    </w:tblStylePr>
    <w:tblStylePr w:type="band2Horz">
      <w:tblPr>
        <w:tblLayout w:type="fixed"/>
      </w:tblPr>
      <w:tcPr>
        <w:tcBorders>
          <w:top w:val="single" w:color="D6862D" w:themeColor="accent2" w:sz="8" w:space="0"/>
          <w:left w:val="single" w:color="D6862D" w:themeColor="accent2" w:sz="8" w:space="0"/>
          <w:bottom w:val="single" w:color="D6862D" w:themeColor="accent2" w:sz="8" w:space="0"/>
          <w:right w:val="single" w:color="D6862D" w:themeColor="accent2" w:sz="8" w:space="0"/>
          <w:insideV w:val="single" w:sz="8" w:space="0"/>
        </w:tcBorders>
      </w:tcPr>
    </w:tblStylePr>
  </w:style>
  <w:style w:type="table" w:styleId="24">
    <w:name w:val="Medium Shading 1 Accent 2"/>
    <w:basedOn w:val="20"/>
    <w:uiPriority w:val="63"/>
    <w:tblPr>
      <w:tblBorders>
        <w:top w:val="single" w:color="E0A461" w:themeColor="accent2" w:themeTint="BF" w:sz="8" w:space="0"/>
        <w:left w:val="single" w:color="E0A461" w:themeColor="accent2" w:themeTint="BF" w:sz="8" w:space="0"/>
        <w:bottom w:val="single" w:color="E0A461" w:themeColor="accent2" w:themeTint="BF" w:sz="8" w:space="0"/>
        <w:right w:val="single" w:color="E0A461" w:themeColor="accent2" w:themeTint="BF" w:sz="8" w:space="0"/>
        <w:insideH w:val="single" w:color="E0A461" w:themeColor="accent2"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E0A461" w:themeColor="accent2" w:themeTint="BF" w:sz="8" w:space="0"/>
          <w:left w:val="single" w:color="E0A461" w:themeColor="accent2" w:themeTint="BF" w:sz="8" w:space="0"/>
          <w:bottom w:val="single" w:color="E0A461" w:themeColor="accent2" w:themeTint="BF" w:sz="8" w:space="0"/>
          <w:right w:val="single" w:color="E0A461" w:themeColor="accent2" w:themeTint="BF" w:sz="8" w:space="0"/>
          <w:insideH w:val="nil"/>
          <w:insideV w:val="nil"/>
        </w:tcBorders>
        <w:shd w:val="clear" w:color="auto" w:fill="D6862D" w:themeFill="accent2"/>
      </w:tcPr>
    </w:tblStylePr>
    <w:tblStylePr w:type="lastRow">
      <w:pPr>
        <w:spacing w:before="0" w:after="0" w:line="240" w:lineRule="auto"/>
      </w:pPr>
      <w:rPr>
        <w:b/>
        <w:bCs/>
      </w:rPr>
      <w:tblPr>
        <w:tblLayout w:type="fixed"/>
      </w:tblPr>
      <w:tcPr>
        <w:tcBorders>
          <w:top w:val="double" w:color="E0A461" w:themeColor="accent2" w:themeTint="BF" w:sz="6" w:space="0"/>
          <w:left w:val="single" w:color="E0A461" w:themeColor="accent2" w:themeTint="BF" w:sz="8" w:space="0"/>
          <w:bottom w:val="single" w:color="E0A461" w:themeColor="accent2" w:themeTint="BF" w:sz="8" w:space="0"/>
          <w:right w:val="single" w:color="E0A461" w:themeColor="accent2"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F4E1CB" w:themeFill="accent2" w:themeFillTint="3F"/>
      </w:tcPr>
    </w:tblStylePr>
    <w:tblStylePr w:type="band1Horz">
      <w:tblPr>
        <w:tblLayout w:type="fixed"/>
      </w:tblPr>
      <w:tcPr>
        <w:tcBorders>
          <w:insideH w:val="nil"/>
          <w:insideV w:val="nil"/>
        </w:tcBorders>
        <w:shd w:val="clear" w:color="auto" w:fill="F4E1CB" w:themeFill="accent2" w:themeFillTint="3F"/>
      </w:tcPr>
    </w:tblStylePr>
    <w:tblStylePr w:type="band2Horz">
      <w:tblPr>
        <w:tblLayout w:type="fixed"/>
      </w:tblPr>
      <w:tcPr>
        <w:tcBorders>
          <w:insideH w:val="nil"/>
          <w:insideV w:val="nil"/>
        </w:tcBorders>
      </w:tcPr>
    </w:tblStylePr>
  </w:style>
  <w:style w:type="table" w:styleId="25">
    <w:name w:val="Medium Shading 2 Accent 1"/>
    <w:basedOn w:val="20"/>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873624" w:themeFill="accent1"/>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873624" w:themeFill="accent1"/>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873624" w:themeFill="accent1"/>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26">
    <w:name w:val="Medium Shading 2 Accent 2"/>
    <w:basedOn w:val="20"/>
    <w:uiPriority w:val="64"/>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shd w:val="clear" w:color="auto" w:fill="D6862D" w:themeFill="accent2"/>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blLayout w:type="fixed"/>
      </w:tblPr>
      <w:tcPr>
        <w:tcBorders>
          <w:top w:val="nil"/>
          <w:left w:val="nil"/>
          <w:bottom w:val="single" w:color="auto" w:sz="18" w:space="0"/>
          <w:right w:val="nil"/>
          <w:insideH w:val="nil"/>
          <w:insideV w:val="nil"/>
        </w:tcBorders>
        <w:shd w:val="clear" w:color="auto" w:fill="D6862D" w:themeFill="accent2"/>
      </w:tcPr>
    </w:tblStylePr>
    <w:tblStylePr w:type="lastCol">
      <w:rPr>
        <w:b/>
        <w:bCs/>
        <w:color w:val="FFFFFF" w:themeColor="background1"/>
        <w14:textFill>
          <w14:solidFill>
            <w14:schemeClr w14:val="bg1"/>
          </w14:solidFill>
        </w14:textFill>
      </w:rPr>
      <w:tblPr>
        <w:tblLayout w:type="fixed"/>
      </w:tblPr>
      <w:tcPr>
        <w:tcBorders>
          <w:left w:val="nil"/>
          <w:right w:val="nil"/>
          <w:insideH w:val="nil"/>
          <w:insideV w:val="nil"/>
        </w:tcBorders>
        <w:shd w:val="clear" w:color="auto" w:fill="D6862D" w:themeFill="accent2"/>
      </w:tcPr>
    </w:tblStylePr>
    <w:tblStylePr w:type="band1Vert">
      <w:tblPr>
        <w:tblLayout w:type="fixed"/>
      </w:tblPr>
      <w:tcPr>
        <w:tcBorders>
          <w:left w:val="nil"/>
          <w:right w:val="nil"/>
          <w:insideH w:val="nil"/>
          <w:insideV w:val="nil"/>
        </w:tcBorders>
        <w:shd w:val="clear" w:color="auto" w:fill="D7D7D7" w:themeFill="background1" w:themeFillShade="D8"/>
      </w:tcPr>
    </w:tblStylePr>
    <w:tblStylePr w:type="band1Horz">
      <w:tblPr>
        <w:tblLayout w:type="fixed"/>
      </w:tblPr>
      <w:tcPr>
        <w:shd w:val="clear" w:color="auto" w:fill="D7D7D7" w:themeFill="background1" w:themeFillShade="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blLayout w:type="fixed"/>
      </w:tblPr>
      <w:tcPr>
        <w:tcBorders>
          <w:top w:val="single" w:color="auto" w:sz="18" w:space="0"/>
          <w:left w:val="nil"/>
          <w:bottom w:val="single" w:color="auto" w:sz="18" w:space="0"/>
          <w:right w:val="nil"/>
          <w:insideH w:val="nil"/>
          <w:insideV w:val="nil"/>
        </w:tcBorders>
      </w:tcPr>
    </w:tblStylePr>
  </w:style>
  <w:style w:type="table" w:styleId="27">
    <w:name w:val="Medium List 2 Accent 5"/>
    <w:basedOn w:val="20"/>
    <w:uiPriority w:val="66"/>
    <w:rPr>
      <w:rFonts w:asciiTheme="majorHAnsi" w:hAnsiTheme="majorHAnsi" w:eastAsiaTheme="majorEastAsia" w:cstheme="majorBidi"/>
      <w:color w:val="000000" w:themeColor="text1"/>
      <w14:textFill>
        <w14:solidFill>
          <w14:schemeClr w14:val="tx1"/>
        </w14:solidFill>
      </w14:textFill>
    </w:rPr>
    <w:tblPr>
      <w:tblBorders>
        <w:top w:val="single" w:color="972109" w:themeColor="accent5" w:sz="8" w:space="0"/>
        <w:left w:val="single" w:color="972109" w:themeColor="accent5" w:sz="8" w:space="0"/>
        <w:bottom w:val="single" w:color="972109" w:themeColor="accent5" w:sz="8" w:space="0"/>
        <w:right w:val="single" w:color="972109" w:themeColor="accent5"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972109" w:themeColor="accent5" w:sz="24" w:space="0"/>
          <w:right w:val="nil"/>
          <w:insideH w:val="nil"/>
          <w:insideV w:val="nil"/>
        </w:tcBorders>
        <w:shd w:val="clear" w:color="auto" w:fill="FFFFFF" w:themeFill="background1"/>
      </w:tcPr>
    </w:tblStylePr>
    <w:tblStylePr w:type="lastRow">
      <w:tblPr>
        <w:tblLayout w:type="fixed"/>
      </w:tblPr>
      <w:tcPr>
        <w:tcBorders>
          <w:top w:val="single" w:color="972109" w:themeColor="accent5" w:sz="8" w:space="0"/>
          <w:left w:val="nil"/>
          <w:bottom w:val="nil"/>
          <w:right w:val="nil"/>
          <w:insideH w:val="nil"/>
          <w:insideV w:val="nil"/>
        </w:tcBorders>
        <w:shd w:val="clear" w:color="auto" w:fill="FFFFFF" w:themeFill="background1"/>
      </w:tcPr>
    </w:tblStylePr>
    <w:tblStylePr w:type="firstCol">
      <w:tblPr>
        <w:tblLayout w:type="fixed"/>
      </w:tblPr>
      <w:tcPr>
        <w:tcBorders>
          <w:top w:val="nil"/>
          <w:left w:val="nil"/>
          <w:bottom w:val="nil"/>
          <w:right w:val="single" w:color="972109" w:themeColor="accent5" w:sz="8" w:space="0"/>
          <w:insideH w:val="nil"/>
          <w:insideV w:val="nil"/>
        </w:tcBorders>
        <w:shd w:val="clear" w:color="auto" w:fill="FFFFFF" w:themeFill="background1"/>
      </w:tcPr>
    </w:tblStylePr>
    <w:tblStylePr w:type="lastCol">
      <w:tblPr>
        <w:tblLayout w:type="fixed"/>
      </w:tblPr>
      <w:tcPr>
        <w:tcBorders>
          <w:top w:val="nil"/>
          <w:left w:val="single" w:color="972109" w:themeColor="accent5" w:sz="8" w:space="0"/>
          <w:bottom w:val="nil"/>
          <w:right w:val="nil"/>
          <w:insideH w:val="nil"/>
          <w:insideV w:val="nil"/>
        </w:tcBorders>
        <w:shd w:val="clear" w:color="auto" w:fill="FFFFFF" w:themeFill="background1"/>
      </w:tcPr>
    </w:tblStylePr>
    <w:tblStylePr w:type="band1Vert">
      <w:tblPr>
        <w:tblLayout w:type="fixed"/>
      </w:tblPr>
      <w:tcPr>
        <w:tcBorders>
          <w:left w:val="nil"/>
          <w:right w:val="nil"/>
          <w:insideH w:val="nil"/>
          <w:insideV w:val="nil"/>
        </w:tcBorders>
        <w:shd w:val="clear" w:color="auto" w:fill="FABAAD" w:themeFill="accent5" w:themeFillTint="3F"/>
      </w:tcPr>
    </w:tblStylePr>
    <w:tblStylePr w:type="band1Horz">
      <w:tblPr>
        <w:tblLayout w:type="fixed"/>
      </w:tblPr>
      <w:tcPr>
        <w:tcBorders>
          <w:top w:val="nil"/>
          <w:bottom w:val="nil"/>
          <w:insideH w:val="nil"/>
          <w:insideV w:val="nil"/>
        </w:tcBorders>
        <w:shd w:val="clear" w:color="auto" w:fill="FABAAD" w:themeFill="accent5" w:themeFillTint="3F"/>
      </w:tcPr>
    </w:tblStylePr>
    <w:tblStylePr w:type="nwCell">
      <w:tblPr>
        <w:tblLayout w:type="fixed"/>
      </w:tblPr>
      <w:tcPr>
        <w:shd w:val="clear" w:color="auto" w:fill="FFFFFF" w:themeFill="background1"/>
      </w:tcPr>
    </w:tblStylePr>
    <w:tblStylePr w:type="swCell">
      <w:tblPr>
        <w:tblLayout w:type="fixed"/>
      </w:tblPr>
      <w:tcPr>
        <w:tcBorders>
          <w:top w:val="nil"/>
        </w:tcBorders>
      </w:tcPr>
    </w:tblStylePr>
  </w:style>
  <w:style w:type="table" w:styleId="28">
    <w:name w:val="Medium Grid 1 Accent 2"/>
    <w:basedOn w:val="20"/>
    <w:uiPriority w:val="67"/>
    <w:tblPr>
      <w:tblBorders>
        <w:top w:val="single" w:color="E0A461" w:themeColor="accent2" w:themeTint="BF" w:sz="8" w:space="0"/>
        <w:left w:val="single" w:color="E0A461" w:themeColor="accent2" w:themeTint="BF" w:sz="8" w:space="0"/>
        <w:bottom w:val="single" w:color="E0A461" w:themeColor="accent2" w:themeTint="BF" w:sz="8" w:space="0"/>
        <w:right w:val="single" w:color="E0A461" w:themeColor="accent2" w:themeTint="BF" w:sz="8" w:space="0"/>
        <w:insideH w:val="single" w:color="E0A461" w:themeColor="accent2" w:themeTint="BF" w:sz="8" w:space="0"/>
        <w:insideV w:val="single" w:color="E0A461" w:themeColor="accent2" w:themeTint="BF" w:sz="8" w:space="0"/>
      </w:tblBorders>
      <w:tblLayout w:type="fixed"/>
      <w:tblCellMar>
        <w:top w:w="0" w:type="dxa"/>
        <w:left w:w="108" w:type="dxa"/>
        <w:bottom w:w="0" w:type="dxa"/>
        <w:right w:w="108" w:type="dxa"/>
      </w:tblCellMar>
    </w:tblPr>
    <w:tcPr>
      <w:shd w:val="clear" w:color="auto" w:fill="F4E1CB" w:themeFill="accent2" w:themeFillTint="3F"/>
    </w:tcPr>
    <w:tblStylePr w:type="firstRow">
      <w:rPr>
        <w:b/>
        <w:bCs/>
      </w:rPr>
    </w:tblStylePr>
    <w:tblStylePr w:type="lastRow">
      <w:rPr>
        <w:b/>
        <w:bCs/>
      </w:rPr>
      <w:tblPr>
        <w:tblLayout w:type="fixed"/>
      </w:tblPr>
      <w:tcPr>
        <w:tcBorders>
          <w:top w:val="single" w:color="E0A461" w:themeColor="accent2" w:themeTint="BF" w:sz="18" w:space="0"/>
        </w:tcBorders>
      </w:tcPr>
    </w:tblStylePr>
    <w:tblStylePr w:type="firstCol">
      <w:rPr>
        <w:b/>
        <w:bCs/>
      </w:rPr>
    </w:tblStylePr>
    <w:tblStylePr w:type="lastCol">
      <w:rPr>
        <w:b/>
        <w:bCs/>
      </w:rPr>
    </w:tblStylePr>
    <w:tblStylePr w:type="band1Vert">
      <w:tblPr>
        <w:tblLayout w:type="fixed"/>
      </w:tblPr>
      <w:tcPr>
        <w:shd w:val="clear" w:color="auto" w:fill="EAC296" w:themeFill="accent2" w:themeFillTint="7F"/>
      </w:tcPr>
    </w:tblStylePr>
    <w:tblStylePr w:type="band1Horz">
      <w:tblPr>
        <w:tblLayout w:type="fixed"/>
      </w:tblPr>
      <w:tcPr>
        <w:shd w:val="clear" w:color="auto" w:fill="EAC296" w:themeFill="accent2" w:themeFillTint="7F"/>
      </w:tcPr>
    </w:tblStylePr>
  </w:style>
  <w:style w:type="table" w:styleId="29">
    <w:name w:val="Medium Grid 2 Accent 5"/>
    <w:basedOn w:val="20"/>
    <w:uiPriority w:val="68"/>
    <w:rPr>
      <w:rFonts w:asciiTheme="majorHAnsi" w:hAnsiTheme="majorHAnsi" w:eastAsiaTheme="majorEastAsia" w:cstheme="majorBidi"/>
      <w:color w:val="000000" w:themeColor="text1"/>
      <w14:textFill>
        <w14:solidFill>
          <w14:schemeClr w14:val="tx1"/>
        </w14:solidFill>
      </w14:textFill>
    </w:rPr>
    <w:tblPr>
      <w:tblBorders>
        <w:top w:val="single" w:color="972109" w:themeColor="accent5" w:sz="8" w:space="0"/>
        <w:left w:val="single" w:color="972109" w:themeColor="accent5" w:sz="8" w:space="0"/>
        <w:bottom w:val="single" w:color="972109" w:themeColor="accent5" w:sz="8" w:space="0"/>
        <w:right w:val="single" w:color="972109" w:themeColor="accent5" w:sz="8" w:space="0"/>
        <w:insideH w:val="single" w:color="972109" w:themeColor="accent5" w:sz="8" w:space="0"/>
        <w:insideV w:val="single" w:color="972109" w:themeColor="accent5" w:sz="8" w:space="0"/>
      </w:tblBorders>
      <w:tblLayout w:type="fixed"/>
      <w:tblCellMar>
        <w:top w:w="0" w:type="dxa"/>
        <w:left w:w="108" w:type="dxa"/>
        <w:bottom w:w="0" w:type="dxa"/>
        <w:right w:w="108" w:type="dxa"/>
      </w:tblCellMar>
    </w:tblPr>
    <w:tcPr>
      <w:shd w:val="clear" w:color="auto" w:fill="FABAAD" w:themeFill="accent5" w:themeFillTint="3F"/>
    </w:tcPr>
    <w:tblStylePr w:type="firstRow">
      <w:rPr>
        <w:b/>
        <w:bCs/>
        <w:color w:val="000000" w:themeColor="text1"/>
        <w14:textFill>
          <w14:solidFill>
            <w14:schemeClr w14:val="tx1"/>
          </w14:solidFill>
        </w14:textFill>
      </w:rPr>
      <w:tblPr>
        <w:tblLayout w:type="fixed"/>
      </w:tblPr>
      <w:tcPr>
        <w:shd w:val="clear" w:color="auto" w:fill="FDE3DE" w:themeFill="accent5" w:themeFillTint="19"/>
      </w:tcPr>
    </w:tblStylePr>
    <w:tblStylePr w:type="lastRow">
      <w:rPr>
        <w:b/>
        <w:bCs/>
        <w:color w:val="000000" w:themeColor="text1"/>
        <w14:textFill>
          <w14:solidFill>
            <w14:schemeClr w14:val="tx1"/>
          </w14:solidFill>
        </w14:textFill>
      </w:rPr>
      <w:tblPr>
        <w:tblLayout w:type="fixed"/>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blLayout w:type="fixed"/>
      </w:tblPr>
      <w:tcPr>
        <w:tcBorders>
          <w:top w:val="nil"/>
          <w:left w:val="nil"/>
          <w:bottom w:val="nil"/>
          <w:right w:val="nil"/>
          <w:insideH w:val="nil"/>
          <w:insideV w:val="nil"/>
        </w:tcBorders>
        <w:shd w:val="clear" w:color="auto" w:fill="FBC7BC" w:themeFill="accent5" w:themeFillTint="33"/>
      </w:tcPr>
    </w:tblStylePr>
    <w:tblStylePr w:type="band1Vert">
      <w:tblPr>
        <w:tblLayout w:type="fixed"/>
      </w:tblPr>
      <w:tcPr>
        <w:shd w:val="clear" w:color="auto" w:fill="F5745A" w:themeFill="accent5" w:themeFillTint="7F"/>
      </w:tcPr>
    </w:tblStylePr>
    <w:tblStylePr w:type="band1Horz">
      <w:tblPr>
        <w:tblLayout w:type="fixed"/>
      </w:tblPr>
      <w:tcPr>
        <w:tcBorders>
          <w:insideH w:val="single" w:sz="6" w:space="0"/>
          <w:insideV w:val="single" w:sz="6" w:space="0"/>
        </w:tcBorders>
        <w:shd w:val="clear" w:color="auto" w:fill="F5745A" w:themeFill="accent5" w:themeFillTint="7F"/>
      </w:tcPr>
    </w:tblStylePr>
    <w:tblStylePr w:type="nwCell">
      <w:tblPr>
        <w:tblLayout w:type="fixed"/>
      </w:tblPr>
      <w:tcPr>
        <w:shd w:val="clear" w:color="auto" w:fill="FFFFFF" w:themeFill="background1"/>
      </w:tcPr>
    </w:tblStylePr>
  </w:style>
  <w:style w:type="table" w:styleId="30">
    <w:name w:val="Medium Grid 3 Accent 2"/>
    <w:basedOn w:val="20"/>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F4E1CB" w:themeFill="accent2" w:themeFillTint="3F"/>
    </w:tcPr>
    <w:tblStylePr w:type="firstRow">
      <w:rPr>
        <w:b/>
        <w:bCs/>
        <w:i w:val="0"/>
        <w:iCs w:val="0"/>
        <w:color w:val="FFFFFF" w:themeColor="background1"/>
        <w14:textFill>
          <w14:solidFill>
            <w14:schemeClr w14:val="bg1"/>
          </w14:solidFill>
        </w14:textFill>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D6862D" w:themeFill="accent2"/>
      </w:tcPr>
    </w:tblStylePr>
    <w:tblStylePr w:type="lastRow">
      <w:rPr>
        <w:b/>
        <w:bCs/>
        <w:i w:val="0"/>
        <w:iCs w:val="0"/>
        <w:color w:val="FFFFFF" w:themeColor="background1"/>
        <w14:textFill>
          <w14:solidFill>
            <w14:schemeClr w14:val="bg1"/>
          </w14:solidFill>
        </w14:textFill>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D6862D" w:themeFill="accent2"/>
      </w:tcPr>
    </w:tblStylePr>
    <w:tblStylePr w:type="firstCol">
      <w:rPr>
        <w:b/>
        <w:bCs/>
        <w:i w:val="0"/>
        <w:iCs w:val="0"/>
        <w:color w:val="FFFFFF" w:themeColor="background1"/>
        <w14:textFill>
          <w14:solidFill>
            <w14:schemeClr w14:val="bg1"/>
          </w14:solidFill>
        </w14:textFill>
      </w:rPr>
      <w:tblPr>
        <w:tblLayout w:type="fixed"/>
      </w:tblPr>
      <w:tcPr>
        <w:tcBorders>
          <w:left w:val="single" w:color="FFFFFF" w:themeColor="background1" w:sz="8" w:space="0"/>
          <w:right w:val="single" w:color="FFFFFF" w:themeColor="background1" w:sz="24" w:space="0"/>
          <w:insideH w:val="nil"/>
          <w:insideV w:val="nil"/>
        </w:tcBorders>
        <w:shd w:val="clear" w:color="auto" w:fill="D6862D" w:themeFill="accent2"/>
      </w:tcPr>
    </w:tblStylePr>
    <w:tblStylePr w:type="lastCol">
      <w:rPr>
        <w:b/>
        <w:bCs/>
        <w:i w:val="0"/>
        <w:iCs w:val="0"/>
        <w:color w:val="FFFFFF" w:themeColor="background1"/>
        <w14:textFill>
          <w14:solidFill>
            <w14:schemeClr w14:val="bg1"/>
          </w14:solidFill>
        </w14:textFill>
      </w:rPr>
      <w:tblPr>
        <w:tblLayout w:type="fixed"/>
      </w:tblPr>
      <w:tcPr>
        <w:tcBorders>
          <w:top w:val="nil"/>
          <w:left w:val="single" w:color="FFFFFF" w:themeColor="background1" w:sz="24" w:space="0"/>
          <w:bottom w:val="nil"/>
          <w:right w:val="nil"/>
          <w:insideH w:val="nil"/>
          <w:insideV w:val="nil"/>
        </w:tcBorders>
        <w:shd w:val="clear" w:color="auto" w:fill="D6862D" w:themeFill="accent2"/>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AC296" w:themeFill="accent2"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EAC296" w:themeFill="accent2" w:themeFillTint="7F"/>
      </w:tcPr>
    </w:tblStylePr>
  </w:style>
  <w:style w:type="table" w:styleId="31">
    <w:name w:val="Colorful Shading Accent 3"/>
    <w:basedOn w:val="20"/>
    <w:uiPriority w:val="71"/>
    <w:rPr>
      <w:color w:val="000000" w:themeColor="text1"/>
      <w14:textFill>
        <w14:solidFill>
          <w14:schemeClr w14:val="tx1"/>
        </w14:solidFill>
      </w14:textFill>
    </w:rPr>
    <w:tblPr>
      <w:tblBorders>
        <w:top w:val="single" w:color="877F6C" w:themeColor="accent4" w:sz="24" w:space="0"/>
        <w:left w:val="single" w:color="D0BE40" w:themeColor="accent3" w:sz="4" w:space="0"/>
        <w:bottom w:val="single" w:color="D0BE40" w:themeColor="accent3" w:sz="4" w:space="0"/>
        <w:right w:val="single" w:color="D0BE40" w:themeColor="accent3"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cPr>
      <w:shd w:val="clear" w:color="auto" w:fill="FAF8EC" w:themeFill="accent3" w:themeFillTint="19"/>
    </w:tcPr>
    <w:tblStylePr w:type="firstRow">
      <w:rPr>
        <w:b/>
        <w:bCs/>
      </w:rPr>
      <w:tblPr>
        <w:tblLayout w:type="fixed"/>
      </w:tblPr>
      <w:tcPr>
        <w:tcBorders>
          <w:top w:val="nil"/>
          <w:left w:val="nil"/>
          <w:bottom w:val="single" w:color="877F6C"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blLayout w:type="fixed"/>
      </w:tblPr>
      <w:tcPr>
        <w:tcBorders>
          <w:top w:val="single" w:color="FFFFFF" w:themeColor="background1" w:sz="6" w:space="0"/>
        </w:tcBorders>
        <w:shd w:val="clear" w:color="auto" w:fill="827620" w:themeFill="accent3" w:themeFillShade="99"/>
      </w:tcPr>
    </w:tblStylePr>
    <w:tblStylePr w:type="firstCol">
      <w:rPr>
        <w:color w:val="FFFFFF" w:themeColor="background1"/>
        <w14:textFill>
          <w14:solidFill>
            <w14:schemeClr w14:val="bg1"/>
          </w14:solidFill>
        </w14:textFill>
      </w:rPr>
      <w:tblPr>
        <w:tblLayout w:type="fixed"/>
      </w:tblPr>
      <w:tcPr>
        <w:tcBorders>
          <w:top w:val="nil"/>
          <w:left w:val="nil"/>
          <w:bottom w:val="nil"/>
          <w:right w:val="nil"/>
          <w:insideH w:val="single" w:sz="4" w:space="0"/>
          <w:insideV w:val="nil"/>
        </w:tcBorders>
        <w:shd w:val="clear" w:color="auto" w:fill="827620" w:themeFill="accent3" w:themeFillShade="99"/>
      </w:tcPr>
    </w:tblStylePr>
    <w:tblStylePr w:type="lastCol">
      <w:rPr>
        <w:color w:val="FFFFFF" w:themeColor="background1"/>
        <w14:textFill>
          <w14:solidFill>
            <w14:schemeClr w14:val="bg1"/>
          </w14:solidFill>
        </w14:textFill>
      </w:rPr>
      <w:tblPr>
        <w:tblLayout w:type="fixed"/>
      </w:tblPr>
      <w:tcPr>
        <w:tcBorders>
          <w:top w:val="nil"/>
          <w:left w:val="nil"/>
          <w:bottom w:val="nil"/>
          <w:right w:val="nil"/>
          <w:insideH w:val="nil"/>
          <w:insideV w:val="nil"/>
        </w:tcBorders>
        <w:shd w:val="clear" w:color="auto" w:fill="827620" w:themeFill="accent3" w:themeFillShade="99"/>
      </w:tcPr>
    </w:tblStylePr>
    <w:tblStylePr w:type="band1Vert">
      <w:tblPr>
        <w:tblLayout w:type="fixed"/>
      </w:tblPr>
      <w:tcPr>
        <w:shd w:val="clear" w:color="auto" w:fill="ECE4B2" w:themeFill="accent3" w:themeFillTint="66"/>
      </w:tcPr>
    </w:tblStylePr>
    <w:tblStylePr w:type="band1Horz">
      <w:tblPr>
        <w:tblLayout w:type="fixed"/>
      </w:tblPr>
      <w:tcPr>
        <w:shd w:val="clear" w:color="auto" w:fill="E7DE9F" w:themeFill="accent3" w:themeFillTint="7F"/>
      </w:tcPr>
    </w:tblStylePr>
  </w:style>
  <w:style w:type="table" w:styleId="32">
    <w:name w:val="Colorful Grid Accent 3"/>
    <w:basedOn w:val="20"/>
    <w:uiPriority w:val="73"/>
    <w:rPr>
      <w:color w:val="000000" w:themeColor="text1"/>
      <w14:textFill>
        <w14:solidFill>
          <w14:schemeClr w14:val="tx1"/>
        </w14:solidFill>
      </w14:textFill>
    </w:rPr>
    <w:tblPr>
      <w:tblBorders>
        <w:insideH w:val="single" w:color="FFFFFF" w:themeColor="background1" w:sz="4" w:space="0"/>
      </w:tblBorders>
      <w:tblLayout w:type="fixed"/>
      <w:tblCellMar>
        <w:top w:w="0" w:type="dxa"/>
        <w:left w:w="108" w:type="dxa"/>
        <w:bottom w:w="0" w:type="dxa"/>
        <w:right w:w="108" w:type="dxa"/>
      </w:tblCellMar>
    </w:tblPr>
    <w:tcPr>
      <w:shd w:val="clear" w:color="auto" w:fill="F5F1D8" w:themeFill="accent3" w:themeFillTint="33"/>
    </w:tcPr>
    <w:tblStylePr w:type="firstRow">
      <w:rPr>
        <w:b/>
        <w:bCs/>
      </w:rPr>
      <w:tblPr>
        <w:tblLayout w:type="fixed"/>
      </w:tblPr>
      <w:tcPr>
        <w:shd w:val="clear" w:color="auto" w:fill="ECE4B2" w:themeFill="accent3" w:themeFillTint="66"/>
      </w:tcPr>
    </w:tblStylePr>
    <w:tblStylePr w:type="lastRow">
      <w:rPr>
        <w:b/>
        <w:bCs/>
        <w:color w:val="000000" w:themeColor="text1"/>
        <w14:textFill>
          <w14:solidFill>
            <w14:schemeClr w14:val="tx1"/>
          </w14:solidFill>
        </w14:textFill>
      </w:rPr>
      <w:tblPr>
        <w:tblLayout w:type="fixed"/>
      </w:tblPr>
      <w:tcPr>
        <w:shd w:val="clear" w:color="auto" w:fill="ECE4B2" w:themeFill="accent3" w:themeFillTint="66"/>
      </w:tcPr>
    </w:tblStylePr>
    <w:tblStylePr w:type="firstCol">
      <w:rPr>
        <w:color w:val="FFFFFF" w:themeColor="background1"/>
        <w14:textFill>
          <w14:solidFill>
            <w14:schemeClr w14:val="bg1"/>
          </w14:solidFill>
        </w14:textFill>
      </w:rPr>
      <w:tblPr>
        <w:tblLayout w:type="fixed"/>
      </w:tblPr>
      <w:tcPr>
        <w:shd w:val="clear" w:color="auto" w:fill="A39428" w:themeFill="accent3" w:themeFillShade="BF"/>
      </w:tcPr>
    </w:tblStylePr>
    <w:tblStylePr w:type="lastCol">
      <w:rPr>
        <w:color w:val="FFFFFF" w:themeColor="background1"/>
        <w14:textFill>
          <w14:solidFill>
            <w14:schemeClr w14:val="bg1"/>
          </w14:solidFill>
        </w14:textFill>
      </w:rPr>
      <w:tblPr>
        <w:tblLayout w:type="fixed"/>
      </w:tblPr>
      <w:tcPr>
        <w:shd w:val="clear" w:color="auto" w:fill="A39428" w:themeFill="accent3" w:themeFillShade="BF"/>
      </w:tcPr>
    </w:tblStylePr>
    <w:tblStylePr w:type="band1Vert">
      <w:tblPr>
        <w:tblLayout w:type="fixed"/>
      </w:tblPr>
      <w:tcPr>
        <w:shd w:val="clear" w:color="auto" w:fill="E7DE9F" w:themeFill="accent3" w:themeFillTint="7F"/>
      </w:tcPr>
    </w:tblStylePr>
    <w:tblStylePr w:type="band1Horz">
      <w:tblPr>
        <w:tblLayout w:type="fixed"/>
      </w:tblPr>
      <w:tcPr>
        <w:shd w:val="clear" w:color="auto" w:fill="E7DE9F" w:themeFill="accent3" w:themeFillTint="7F"/>
      </w:tcPr>
    </w:tblStylePr>
  </w:style>
  <w:style w:type="character" w:customStyle="1" w:styleId="33">
    <w:name w:val="标题 1 Char"/>
    <w:basedOn w:val="16"/>
    <w:link w:val="2"/>
    <w:qFormat/>
    <w:uiPriority w:val="9"/>
    <w:rPr>
      <w:rFonts w:ascii="黑体" w:hAnsi="黑体" w:eastAsia="黑体" w:cs="宋体"/>
      <w:b/>
      <w:bCs/>
      <w:color w:val="711907" w:themeColor="accent5" w:themeShade="BF"/>
      <w:kern w:val="44"/>
      <w:sz w:val="32"/>
      <w:szCs w:val="32"/>
      <w:u w:color="000000"/>
      <w:lang w:val="zh-TW"/>
    </w:rPr>
  </w:style>
  <w:style w:type="character" w:customStyle="1" w:styleId="34">
    <w:name w:val="页脚 Char"/>
    <w:basedOn w:val="16"/>
    <w:link w:val="9"/>
    <w:qFormat/>
    <w:uiPriority w:val="99"/>
    <w:rPr>
      <w:rFonts w:ascii="Calibri" w:hAnsi="Calibri" w:eastAsia="Calibri" w:cs="Calibri"/>
      <w:color w:val="000000"/>
      <w:sz w:val="18"/>
      <w:szCs w:val="18"/>
      <w:u w:color="000000"/>
      <w:lang w:eastAsia="en-US"/>
    </w:rPr>
  </w:style>
  <w:style w:type="character" w:customStyle="1" w:styleId="35">
    <w:name w:val="批注框文本 Char"/>
    <w:basedOn w:val="16"/>
    <w:link w:val="8"/>
    <w:semiHidden/>
    <w:qFormat/>
    <w:uiPriority w:val="99"/>
    <w:rPr>
      <w:sz w:val="18"/>
      <w:szCs w:val="18"/>
    </w:rPr>
  </w:style>
  <w:style w:type="table" w:customStyle="1" w:styleId="36">
    <w:name w:val="浅色底纹1"/>
    <w:basedOn w:val="20"/>
    <w:qFormat/>
    <w:uiPriority w:val="60"/>
    <w:rPr>
      <w:rFonts w:ascii="Times New Roman" w:hAnsi="Times New Roman" w:eastAsia="宋体" w:cs="Times New Roman"/>
      <w:color w:val="000000"/>
      <w:kern w:val="0"/>
      <w:sz w:val="20"/>
      <w:szCs w:val="20"/>
    </w:rPr>
    <w:tblPr>
      <w:tblBorders>
        <w:top w:val="single" w:color="000000" w:sz="8" w:space="0"/>
        <w:bottom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C0C0C0"/>
      </w:tcPr>
    </w:tblStylePr>
    <w:tblStylePr w:type="band1Horz">
      <w:tcPr>
        <w:tcBorders>
          <w:top w:val="nil"/>
          <w:left w:val="nil"/>
          <w:bottom w:val="nil"/>
          <w:right w:val="nil"/>
          <w:insideH w:val="nil"/>
          <w:insideV w:val="nil"/>
          <w:tl2br w:val="nil"/>
          <w:tr2bl w:val="nil"/>
        </w:tcBorders>
        <w:shd w:val="clear" w:color="auto" w:fill="C0C0C0"/>
      </w:tcPr>
    </w:tblStylePr>
  </w:style>
  <w:style w:type="table" w:customStyle="1" w:styleId="37">
    <w:name w:val="中等深浅网格 31"/>
    <w:basedOn w:val="20"/>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cPr>
        <w:tcBorders>
          <w:top w:val="nil"/>
          <w:left w:val="single" w:color="FFFFFF" w:themeColor="background1" w:sz="24" w:space="0"/>
          <w:bottom w:val="nil"/>
          <w:right w:val="nil"/>
          <w:insideH w:val="nil"/>
          <w:insideV w:val="nil"/>
        </w:tcBorders>
        <w:shd w:val="clear" w:color="auto" w:fill="000000" w:themeFill="text1"/>
      </w:tcPr>
    </w:tblStylePr>
    <w:tblStylePr w:type="band1Vert">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character" w:customStyle="1" w:styleId="38">
    <w:name w:val="标题 2 Char"/>
    <w:basedOn w:val="16"/>
    <w:link w:val="3"/>
    <w:qFormat/>
    <w:uiPriority w:val="9"/>
    <w:rPr>
      <w:rFonts w:ascii="黑体" w:hAnsi="黑体" w:eastAsia="黑体" w:cs="Times New Roman"/>
      <w:b/>
      <w:bCs/>
      <w:color w:val="711907" w:themeColor="accent5" w:themeShade="BF"/>
      <w:sz w:val="30"/>
      <w:szCs w:val="30"/>
      <w:u w:color="000000"/>
      <w:lang w:val="zh-TW"/>
    </w:rPr>
  </w:style>
  <w:style w:type="character" w:customStyle="1" w:styleId="39">
    <w:name w:val="标题 3 Char"/>
    <w:basedOn w:val="16"/>
    <w:link w:val="4"/>
    <w:qFormat/>
    <w:uiPriority w:val="9"/>
    <w:rPr>
      <w:rFonts w:ascii="黑体" w:hAnsi="黑体" w:eastAsia="黑体" w:cs="宋体"/>
      <w:b/>
      <w:bCs/>
      <w:color w:val="711907" w:themeColor="accent5" w:themeShade="BF"/>
      <w:sz w:val="24"/>
      <w:szCs w:val="32"/>
      <w:u w:color="000000"/>
      <w:lang w:val="zh-TW" w:eastAsia="zh-TW"/>
    </w:rPr>
  </w:style>
  <w:style w:type="table" w:customStyle="1" w:styleId="40">
    <w:name w:val="Table 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Layout w:type="fixed"/>
      <w:tblCellMar>
        <w:top w:w="0" w:type="dxa"/>
        <w:left w:w="0" w:type="dxa"/>
        <w:bottom w:w="0" w:type="dxa"/>
        <w:right w:w="0" w:type="dxa"/>
      </w:tblCellMar>
    </w:tblPr>
  </w:style>
  <w:style w:type="character" w:customStyle="1" w:styleId="41">
    <w:name w:val="批注文字 Char"/>
    <w:basedOn w:val="16"/>
    <w:link w:val="6"/>
    <w:semiHidden/>
    <w:qFormat/>
    <w:uiPriority w:val="99"/>
    <w:rPr>
      <w:rFonts w:ascii="Helvetica" w:hAnsi="Arial Unicode MS" w:eastAsia="Arial Unicode MS" w:cs="Arial Unicode MS"/>
      <w:color w:val="000000"/>
      <w:kern w:val="0"/>
      <w:sz w:val="22"/>
    </w:rPr>
  </w:style>
  <w:style w:type="paragraph" w:customStyle="1" w:styleId="42">
    <w:name w:val="List Paragraph1"/>
    <w:uiPriority w:val="0"/>
    <w:pPr>
      <w:widowControl w:val="0"/>
      <w:ind w:firstLine="420"/>
      <w:jc w:val="both"/>
    </w:pPr>
    <w:rPr>
      <w:rFonts w:ascii="Calibri" w:hAnsi="Calibri" w:eastAsia="Calibri" w:cs="Calibri"/>
      <w:color w:val="000000"/>
      <w:kern w:val="2"/>
      <w:sz w:val="21"/>
      <w:szCs w:val="21"/>
      <w:u w:color="000000"/>
      <w:lang w:val="en-US" w:eastAsia="zh-CN" w:bidi="ar-SA"/>
    </w:rPr>
  </w:style>
  <w:style w:type="character" w:customStyle="1" w:styleId="43">
    <w:name w:val="页眉 Char"/>
    <w:basedOn w:val="16"/>
    <w:link w:val="10"/>
    <w:uiPriority w:val="99"/>
    <w:rPr>
      <w:sz w:val="18"/>
      <w:szCs w:val="18"/>
    </w:rPr>
  </w:style>
  <w:style w:type="character" w:customStyle="1" w:styleId="44">
    <w:name w:val="脚注文本 Char"/>
    <w:basedOn w:val="16"/>
    <w:link w:val="12"/>
    <w:semiHidden/>
    <w:uiPriority w:val="99"/>
    <w:rPr>
      <w:sz w:val="18"/>
      <w:szCs w:val="18"/>
    </w:rPr>
  </w:style>
  <w:style w:type="paragraph" w:customStyle="1" w:styleId="45">
    <w:name w:val="列出段落1"/>
    <w:basedOn w:val="1"/>
    <w:qFormat/>
    <w:uiPriority w:val="0"/>
    <w:pPr>
      <w:ind w:firstLine="420" w:firstLineChars="200"/>
    </w:pPr>
    <w:rPr>
      <w:rFonts w:ascii="Calibri" w:hAnsi="Calibri" w:eastAsia="Calibri" w:cs="Calibri"/>
      <w:color w:val="000000"/>
      <w:szCs w:val="21"/>
      <w:u w:color="000000"/>
      <w:lang w:eastAsia="en-US"/>
    </w:rPr>
  </w:style>
  <w:style w:type="character" w:customStyle="1" w:styleId="46">
    <w:name w:val="标题 Char"/>
    <w:basedOn w:val="16"/>
    <w:link w:val="15"/>
    <w:uiPriority w:val="10"/>
    <w:rPr>
      <w:rFonts w:ascii="Cambria" w:hAnsi="Cambria" w:eastAsia="宋体" w:cs="Times New Roman"/>
      <w:b/>
      <w:bCs/>
      <w:sz w:val="32"/>
      <w:szCs w:val="32"/>
      <w:u w:color="000000"/>
    </w:rPr>
  </w:style>
  <w:style w:type="paragraph" w:customStyle="1" w:styleId="47">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65291B" w:themeColor="accent1" w:themeShade="BF"/>
      <w:kern w:val="0"/>
      <w:sz w:val="28"/>
      <w:szCs w:val="28"/>
    </w:rPr>
  </w:style>
  <w:style w:type="character" w:customStyle="1" w:styleId="48">
    <w:name w:val="批注主题 Char"/>
    <w:basedOn w:val="41"/>
    <w:link w:val="5"/>
    <w:semiHidden/>
    <w:uiPriority w:val="99"/>
    <w:rPr>
      <w:rFonts w:ascii="Helvetica" w:hAnsi="Arial Unicode MS" w:eastAsia="Arial Unicode MS" w:cs="Arial Unicode MS"/>
      <w:b/>
      <w:bCs/>
      <w:color w:val="000000"/>
      <w:kern w:val="0"/>
      <w:sz w:val="22"/>
    </w:rPr>
  </w:style>
  <w:style w:type="paragraph" w:styleId="49">
    <w:name w:val="List Paragraph"/>
    <w:basedOn w:val="1"/>
    <w:qFormat/>
    <w:uiPriority w:val="34"/>
    <w:pPr>
      <w:ind w:firstLine="420" w:firstLineChars="200"/>
    </w:pPr>
  </w:style>
  <w:style w:type="paragraph" w:customStyle="1" w:styleId="50">
    <w:name w:val="批注"/>
    <w:basedOn w:val="6"/>
    <w:link w:val="51"/>
    <w:qFormat/>
    <w:uiPriority w:val="0"/>
    <w:rPr>
      <w:rFonts w:eastAsia="华文细黑"/>
    </w:rPr>
  </w:style>
  <w:style w:type="character" w:customStyle="1" w:styleId="51">
    <w:name w:val="批注 Char"/>
    <w:basedOn w:val="41"/>
    <w:link w:val="50"/>
    <w:uiPriority w:val="0"/>
    <w:rPr>
      <w:rFonts w:ascii="Helvetica" w:hAnsi="Arial Unicode MS" w:eastAsia="华文细黑" w:cs="Arial Unicode MS"/>
      <w:color w:val="000000"/>
      <w:kern w:val="0"/>
      <w:sz w:val="22"/>
    </w:rPr>
  </w:style>
  <w:style w:type="table" w:customStyle="1" w:styleId="52">
    <w:name w:val="中等深浅网格 3 - 强调文字颜色 21"/>
    <w:basedOn w:val="20"/>
    <w:unhideWhenUsed/>
    <w:uiPriority w:val="99"/>
    <w:rPr>
      <w:rFonts w:ascii="Times New Roman" w:hAnsi="Times New Roman" w:eastAsia="Times New Roman" w:cs="Times New Roman"/>
      <w:kern w:val="0"/>
      <w:sz w:val="20"/>
      <w:szCs w:val="20"/>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CellMar>
        <w:top w:w="0" w:type="dxa"/>
        <w:left w:w="108" w:type="dxa"/>
        <w:bottom w:w="0" w:type="dxa"/>
        <w:right w:w="108" w:type="dxa"/>
      </w:tblCellMar>
    </w:tblPr>
    <w:tcPr>
      <w:shd w:val="clear" w:color="auto" w:fill="F4E1CB"/>
    </w:tcPr>
    <w:tblStylePr w:type="firstRow">
      <w:rPr>
        <w:rFonts w:hint="default" w:ascii="Times New Roman" w:hAnsi="Times New Roman" w:cs="Times New Roman"/>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D6862D"/>
      </w:tcPr>
    </w:tblStylePr>
    <w:tblStylePr w:type="lastRow">
      <w:rPr>
        <w:rFonts w:hint="default" w:ascii="Times New Roman" w:hAnsi="Times New Roman" w:cs="Times New Roman"/>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D6862D"/>
      </w:tcPr>
    </w:tblStylePr>
    <w:tblStylePr w:type="firstCol">
      <w:rPr>
        <w:rFonts w:hint="default" w:ascii="Times New Roman" w:hAnsi="Times New Roman" w:cs="Times New Roman"/>
        <w:b/>
        <w:bCs/>
        <w:i w:val="0"/>
        <w:iCs w:val="0"/>
        <w:color w:val="FFFFFF"/>
      </w:rPr>
      <w:tcPr>
        <w:tcBorders>
          <w:left w:val="single" w:color="FFFFFF" w:sz="8" w:space="0"/>
          <w:right w:val="single" w:color="FFFFFF" w:sz="24" w:space="0"/>
          <w:insideH w:val="nil"/>
          <w:insideV w:val="nil"/>
        </w:tcBorders>
        <w:shd w:val="clear" w:color="auto" w:fill="D6862D"/>
      </w:tcPr>
    </w:tblStylePr>
    <w:tblStylePr w:type="lastCol">
      <w:rPr>
        <w:rFonts w:hint="default" w:ascii="Times New Roman" w:hAnsi="Times New Roman" w:cs="Times New Roman"/>
        <w:b/>
        <w:bCs/>
        <w:i w:val="0"/>
        <w:iCs w:val="0"/>
        <w:color w:val="FFFFFF"/>
      </w:rPr>
      <w:tcPr>
        <w:tcBorders>
          <w:top w:val="nil"/>
          <w:left w:val="single" w:color="FFFFFF" w:sz="24" w:space="0"/>
          <w:bottom w:val="nil"/>
          <w:right w:val="nil"/>
          <w:insideH w:val="nil"/>
          <w:insideV w:val="nil"/>
        </w:tcBorders>
        <w:shd w:val="clear" w:color="auto" w:fill="D6862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EAC296"/>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EAC296"/>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7.jpeg"/><Relationship Id="rId25" Type="http://schemas.openxmlformats.org/officeDocument/2006/relationships/chart" Target="charts/chart13.xml"/><Relationship Id="rId24" Type="http://schemas.openxmlformats.org/officeDocument/2006/relationships/chart" Target="charts/chart12.xml"/><Relationship Id="rId23" Type="http://schemas.openxmlformats.org/officeDocument/2006/relationships/chart" Target="charts/chart11.xml"/><Relationship Id="rId22" Type="http://schemas.openxmlformats.org/officeDocument/2006/relationships/chart" Target="charts/chart10.xml"/><Relationship Id="rId21" Type="http://schemas.openxmlformats.org/officeDocument/2006/relationships/chart" Target="charts/chart9.xml"/><Relationship Id="rId20" Type="http://schemas.openxmlformats.org/officeDocument/2006/relationships/chart" Target="charts/chart8.xml"/><Relationship Id="rId2" Type="http://schemas.openxmlformats.org/officeDocument/2006/relationships/settings" Target="settings.xml"/><Relationship Id="rId19" Type="http://schemas.openxmlformats.org/officeDocument/2006/relationships/chart" Target="charts/chart7.xml"/><Relationship Id="rId18" Type="http://schemas.openxmlformats.org/officeDocument/2006/relationships/chart" Target="charts/chart6.xml"/><Relationship Id="rId17" Type="http://schemas.openxmlformats.org/officeDocument/2006/relationships/chart" Target="charts/chart5.xml"/><Relationship Id="rId16" Type="http://schemas.openxmlformats.org/officeDocument/2006/relationships/chart" Target="charts/chart4.xml"/><Relationship Id="rId15" Type="http://schemas.openxmlformats.org/officeDocument/2006/relationships/chart" Target="charts/chart3.xml"/><Relationship Id="rId14" Type="http://schemas.openxmlformats.org/officeDocument/2006/relationships/chart" Target="charts/chart2.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chart" Target="charts/chart1.xml"/><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使用量</c:v>
                </c:pt>
              </c:strCache>
            </c:strRef>
          </c:tx>
          <c:explosion val="0"/>
          <c:dPt>
            <c:idx val="0"/>
            <c:bubble3D val="0"/>
          </c:dPt>
          <c:dPt>
            <c:idx val="1"/>
            <c:bubble3D val="0"/>
          </c:dPt>
          <c:dPt>
            <c:idx val="2"/>
            <c:bubble3D val="0"/>
          </c:dPt>
          <c:dPt>
            <c:idx val="3"/>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Sheet1!$A$2:$A$5</c:f>
              <c:strCache>
                <c:ptCount val="4"/>
                <c:pt idx="0">
                  <c:v>超星app安卓版</c:v>
                </c:pt>
                <c:pt idx="1">
                  <c:v>电脑</c:v>
                </c:pt>
                <c:pt idx="2">
                  <c:v>超星app苹果版</c:v>
                </c:pt>
                <c:pt idx="3">
                  <c:v>安卓</c:v>
                </c:pt>
              </c:strCache>
            </c:strRef>
          </c:cat>
          <c:val>
            <c:numRef>
              <c:f>Sheet1!$B$2:$B$5</c:f>
              <c:numCache>
                <c:formatCode>0.00%</c:formatCode>
                <c:ptCount val="4"/>
                <c:pt idx="0">
                  <c:v>0.5592</c:v>
                </c:pt>
                <c:pt idx="1">
                  <c:v>0.1527</c:v>
                </c:pt>
                <c:pt idx="2">
                  <c:v>0.2871</c:v>
                </c:pt>
                <c:pt idx="3">
                  <c:v>0.001</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访问量</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Sheet1!$A$2:$A$4</c:f>
              <c:strCache>
                <c:ptCount val="3"/>
                <c:pt idx="0">
                  <c:v>4月</c:v>
                </c:pt>
                <c:pt idx="1">
                  <c:v>5月</c:v>
                </c:pt>
                <c:pt idx="2">
                  <c:v>6月</c:v>
                </c:pt>
              </c:strCache>
            </c:strRef>
          </c:cat>
          <c:val>
            <c:numRef>
              <c:f>Sheet1!$B$2:$B$4</c:f>
              <c:numCache>
                <c:formatCode>General</c:formatCode>
                <c:ptCount val="3"/>
                <c:pt idx="0">
                  <c:v>858084</c:v>
                </c:pt>
                <c:pt idx="1">
                  <c:v>1282113</c:v>
                </c:pt>
                <c:pt idx="2">
                  <c:v>31611</c:v>
                </c:pt>
              </c:numCache>
            </c:numRef>
          </c:val>
          <c:smooth val="0"/>
        </c:ser>
        <c:dLbls>
          <c:showLegendKey val="0"/>
          <c:showVal val="1"/>
          <c:showCatName val="0"/>
          <c:showSerName val="0"/>
          <c:showPercent val="0"/>
          <c:showBubbleSize val="0"/>
        </c:dLbls>
        <c:marker val="1"/>
        <c:smooth val="0"/>
        <c:axId val="140932992"/>
        <c:axId val="140935936"/>
      </c:lineChart>
      <c:catAx>
        <c:axId val="140932992"/>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140935936"/>
        <c:crosses val="autoZero"/>
        <c:auto val="1"/>
        <c:lblAlgn val="ctr"/>
        <c:lblOffset val="100"/>
        <c:noMultiLvlLbl val="0"/>
      </c:catAx>
      <c:valAx>
        <c:axId val="140935936"/>
        <c:scaling>
          <c:orientation val="minMax"/>
        </c:scaling>
        <c:delete val="1"/>
        <c:axPos val="l"/>
        <c:numFmt formatCode="General" sourceLinked="1"/>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932992"/>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访问量</c:v>
                </c:pt>
              </c:strCache>
            </c:strRef>
          </c:tx>
          <c:spPr>
            <a:ln w="19050" cap="rnd" cmpd="sng" algn="ctr">
              <a:solidFill>
                <a:schemeClr val="accent1">
                  <a:shade val="95000"/>
                  <a:satMod val="105000"/>
                </a:schemeClr>
              </a:solidFill>
              <a:prstDash val="solid"/>
              <a:round/>
            </a:ln>
          </c:spPr>
          <c:marker>
            <c:symbol val="none"/>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Sheet1!$A$2:$A$8</c:f>
              <c:strCache>
                <c:ptCount val="7"/>
                <c:pt idx="0">
                  <c:v>星期日</c:v>
                </c:pt>
                <c:pt idx="1">
                  <c:v>星期一</c:v>
                </c:pt>
                <c:pt idx="2">
                  <c:v>星期二</c:v>
                </c:pt>
                <c:pt idx="3">
                  <c:v>星期三</c:v>
                </c:pt>
                <c:pt idx="4">
                  <c:v>星期四</c:v>
                </c:pt>
                <c:pt idx="5">
                  <c:v>星期五</c:v>
                </c:pt>
                <c:pt idx="6">
                  <c:v>星期六</c:v>
                </c:pt>
              </c:strCache>
            </c:strRef>
          </c:cat>
          <c:val>
            <c:numRef>
              <c:f>Sheet1!$B$2:$B$8</c:f>
              <c:numCache>
                <c:formatCode>General</c:formatCode>
                <c:ptCount val="7"/>
                <c:pt idx="0">
                  <c:v>239855</c:v>
                </c:pt>
                <c:pt idx="1">
                  <c:v>373818</c:v>
                </c:pt>
                <c:pt idx="2">
                  <c:v>358750</c:v>
                </c:pt>
                <c:pt idx="3">
                  <c:v>345900</c:v>
                </c:pt>
                <c:pt idx="4">
                  <c:v>371113</c:v>
                </c:pt>
                <c:pt idx="5">
                  <c:v>267229</c:v>
                </c:pt>
                <c:pt idx="6">
                  <c:v>221900</c:v>
                </c:pt>
              </c:numCache>
            </c:numRef>
          </c:val>
          <c:smooth val="0"/>
        </c:ser>
        <c:dLbls>
          <c:showLegendKey val="0"/>
          <c:showVal val="1"/>
          <c:showCatName val="0"/>
          <c:showSerName val="0"/>
          <c:showPercent val="0"/>
          <c:showBubbleSize val="0"/>
        </c:dLbls>
        <c:marker val="0"/>
        <c:smooth val="0"/>
        <c:axId val="140946432"/>
        <c:axId val="140949376"/>
      </c:lineChart>
      <c:catAx>
        <c:axId val="140946432"/>
        <c:scaling>
          <c:orientation val="minMax"/>
        </c:scaling>
        <c:delete val="0"/>
        <c:axPos val="b"/>
        <c:numFmt formatCode="General" sourceLinked="1"/>
        <c:majorTickMark val="none"/>
        <c:minorTickMark val="none"/>
        <c:tickLblPos val="low"/>
        <c:txPr>
          <a:bodyPr rot="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140949376"/>
        <c:crosses val="autoZero"/>
        <c:auto val="1"/>
        <c:lblAlgn val="ctr"/>
        <c:lblOffset val="100"/>
        <c:noMultiLvlLbl val="1"/>
      </c:catAx>
      <c:valAx>
        <c:axId val="140949376"/>
        <c:scaling>
          <c:orientation val="minMax"/>
        </c:scaling>
        <c:delete val="1"/>
        <c:axPos val="l"/>
        <c:majorGridlines/>
        <c:numFmt formatCode="0" sourceLinked="0"/>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946432"/>
        <c:crosses val="autoZero"/>
        <c:crossBetween val="between"/>
      </c:valAx>
    </c:plotArea>
    <c:plotVisOnly val="1"/>
    <c:dispBlanksAs val="gap"/>
    <c:showDLblsOverMax val="1"/>
  </c:chart>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manualLayout>
          <c:layoutTarget val="inner"/>
          <c:xMode val="edge"/>
          <c:yMode val="edge"/>
          <c:x val="0.0114759203771068"/>
          <c:y val="0.0496876118149103"/>
          <c:w val="0.972747107754792"/>
          <c:h val="0.802619573163249"/>
        </c:manualLayout>
      </c:layout>
      <c:lineChart>
        <c:grouping val="standard"/>
        <c:varyColors val="0"/>
        <c:ser>
          <c:idx val="0"/>
          <c:order val="0"/>
          <c:tx>
            <c:strRef>
              <c:f>Sheet1!$B$1</c:f>
              <c:strCache>
                <c:ptCount val="1"/>
                <c:pt idx="0">
                  <c:v>合计</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Sheet1!$A$2:$A$7</c:f>
              <c:strCache>
                <c:ptCount val="6"/>
                <c:pt idx="0">
                  <c:v>访问时段（00-04）</c:v>
                </c:pt>
                <c:pt idx="1">
                  <c:v>访问时段（04-08）</c:v>
                </c:pt>
                <c:pt idx="2">
                  <c:v>访问时段（08-12）</c:v>
                </c:pt>
                <c:pt idx="3">
                  <c:v>访问时段（12-16）</c:v>
                </c:pt>
                <c:pt idx="4">
                  <c:v>访问时段（16-20）</c:v>
                </c:pt>
                <c:pt idx="5">
                  <c:v>访问时段（20-24）</c:v>
                </c:pt>
              </c:strCache>
            </c:strRef>
          </c:cat>
          <c:val>
            <c:numRef>
              <c:f>Sheet1!$B$2:$B$7</c:f>
              <c:numCache>
                <c:formatCode>General</c:formatCode>
                <c:ptCount val="6"/>
                <c:pt idx="0">
                  <c:v>97051</c:v>
                </c:pt>
                <c:pt idx="1">
                  <c:v>151145</c:v>
                </c:pt>
                <c:pt idx="2">
                  <c:v>587585</c:v>
                </c:pt>
                <c:pt idx="3">
                  <c:v>449528</c:v>
                </c:pt>
                <c:pt idx="4">
                  <c:v>495056</c:v>
                </c:pt>
                <c:pt idx="5">
                  <c:v>398200</c:v>
                </c:pt>
              </c:numCache>
            </c:numRef>
          </c:val>
          <c:smooth val="0"/>
        </c:ser>
        <c:dLbls>
          <c:showLegendKey val="0"/>
          <c:showVal val="1"/>
          <c:showCatName val="0"/>
          <c:showSerName val="0"/>
          <c:showPercent val="0"/>
          <c:showBubbleSize val="0"/>
        </c:dLbls>
        <c:marker val="1"/>
        <c:smooth val="0"/>
        <c:axId val="141005184"/>
        <c:axId val="141007872"/>
      </c:lineChart>
      <c:catAx>
        <c:axId val="141005184"/>
        <c:scaling>
          <c:orientation val="minMax"/>
        </c:scaling>
        <c:delete val="0"/>
        <c:axPos val="b"/>
        <c:numFmt formatCode="General" sourceLinked="1"/>
        <c:majorTickMark val="none"/>
        <c:minorTickMark val="none"/>
        <c:tickLblPos val="low"/>
        <c:txPr>
          <a:bodyPr rot="0" spcFirstLastPara="0" vertOverflow="ellipsis" vert="horz" wrap="square" anchor="ctr" anchorCtr="1"/>
          <a:lstStyle/>
          <a:p>
            <a:pPr>
              <a:defRPr lang="zh-CN" sz="800" b="0" i="0" u="none" strike="noStrike" kern="1200" baseline="0">
                <a:solidFill>
                  <a:schemeClr val="dk1"/>
                </a:solidFill>
                <a:latin typeface="+mn-lt"/>
                <a:ea typeface="+mn-ea"/>
                <a:cs typeface="+mn-cs"/>
              </a:defRPr>
            </a:pPr>
          </a:p>
        </c:txPr>
        <c:crossAx val="141007872"/>
        <c:crosses val="autoZero"/>
        <c:auto val="1"/>
        <c:lblAlgn val="ctr"/>
        <c:lblOffset val="100"/>
        <c:noMultiLvlLbl val="1"/>
      </c:catAx>
      <c:valAx>
        <c:axId val="141007872"/>
        <c:scaling>
          <c:orientation val="minMax"/>
        </c:scaling>
        <c:delete val="1"/>
        <c:axPos val="l"/>
        <c:majorGridlines/>
        <c:numFmt formatCode="0" sourceLinked="0"/>
        <c:majorTickMark val="none"/>
        <c:minorTickMark val="none"/>
        <c:tickLblPos val="none"/>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1005184"/>
        <c:crosses val="autoZero"/>
        <c:crossBetween val="between"/>
      </c:valAx>
    </c:plotArea>
    <c:plotVisOnly val="1"/>
    <c:dispBlanksAs val="gap"/>
    <c:showDLblsOverMax val="1"/>
  </c:chart>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课程完成率</c:v>
                </c:pt>
              </c:strCache>
            </c:strRef>
          </c:tx>
          <c:spPr>
            <a:ln w="19050" cap="rnd" cmpd="sng" algn="ctr">
              <a:solidFill>
                <a:schemeClr val="accent1">
                  <a:shade val="95000"/>
                  <a:satMod val="105000"/>
                </a:schemeClr>
              </a:solidFill>
              <a:prstDash val="solid"/>
              <a:round/>
            </a:ln>
          </c:spPr>
          <c:marker>
            <c:symbol val="none"/>
          </c:marker>
          <c:dLbls>
            <c:delete val="1"/>
          </c:dLbls>
          <c:cat>
            <c:strRef>
              <c:f>Sheet1!$A$2:$A$10</c:f>
              <c:strCache>
                <c:ptCount val="9"/>
                <c:pt idx="0">
                  <c:v>交通信息工程系</c:v>
                </c:pt>
                <c:pt idx="1">
                  <c:v>公路学院</c:v>
                </c:pt>
                <c:pt idx="2">
                  <c:v>其他院系</c:v>
                </c:pt>
                <c:pt idx="3">
                  <c:v>商务旅游系</c:v>
                </c:pt>
                <c:pt idx="4">
                  <c:v>建筑工程系</c:v>
                </c:pt>
                <c:pt idx="5">
                  <c:v>汽车学院</c:v>
                </c:pt>
                <c:pt idx="6">
                  <c:v>物流学院</c:v>
                </c:pt>
                <c:pt idx="7">
                  <c:v>航运海事系</c:v>
                </c:pt>
                <c:pt idx="8">
                  <c:v>轨道交通学院</c:v>
                </c:pt>
              </c:strCache>
            </c:strRef>
          </c:cat>
          <c:val>
            <c:numRef>
              <c:f>Sheet1!$B$2:$B$10</c:f>
              <c:numCache>
                <c:formatCode>0.00_ </c:formatCode>
                <c:ptCount val="9"/>
                <c:pt idx="0">
                  <c:v>0.89202051877514</c:v>
                </c:pt>
                <c:pt idx="1">
                  <c:v>0.89830144989697</c:v>
                </c:pt>
                <c:pt idx="2">
                  <c:v>0.83836824696803</c:v>
                </c:pt>
                <c:pt idx="3">
                  <c:v>0.9384300061488</c:v>
                </c:pt>
                <c:pt idx="4">
                  <c:v>0.92459548066415</c:v>
                </c:pt>
                <c:pt idx="5">
                  <c:v>0.89905107441948</c:v>
                </c:pt>
                <c:pt idx="6">
                  <c:v>0.94364177949256</c:v>
                </c:pt>
                <c:pt idx="7">
                  <c:v>0.86962981526564</c:v>
                </c:pt>
                <c:pt idx="8">
                  <c:v>0.9323132327511</c:v>
                </c:pt>
              </c:numCache>
            </c:numRef>
          </c:val>
          <c:smooth val="0"/>
        </c:ser>
        <c:dLbls>
          <c:showLegendKey val="0"/>
          <c:showVal val="1"/>
          <c:showCatName val="0"/>
          <c:showSerName val="0"/>
          <c:showPercent val="0"/>
          <c:showBubbleSize val="0"/>
        </c:dLbls>
        <c:marker val="0"/>
        <c:smooth val="0"/>
        <c:axId val="141023872"/>
        <c:axId val="141025664"/>
      </c:lineChart>
      <c:catAx>
        <c:axId val="141023872"/>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141025664"/>
        <c:crosses val="autoZero"/>
        <c:auto val="1"/>
        <c:lblAlgn val="ctr"/>
        <c:lblOffset val="100"/>
        <c:noMultiLvlLbl val="0"/>
      </c:catAx>
      <c:valAx>
        <c:axId val="141025664"/>
        <c:scaling>
          <c:orientation val="minMax"/>
        </c:scaling>
        <c:delete val="0"/>
        <c:axPos val="l"/>
        <c:majorGridlines/>
        <c:numFmt formatCode="0.00%"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1023872"/>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1"/>
        <c:ser>
          <c:idx val="0"/>
          <c:order val="0"/>
          <c:invertIfNegative val="0"/>
          <c:dPt>
            <c:idx val="0"/>
            <c:invertIfNegative val="0"/>
            <c:bubble3D val="0"/>
          </c:dPt>
          <c:dPt>
            <c:idx val="1"/>
            <c:invertIfNegative val="0"/>
            <c:bubble3D val="0"/>
          </c:dPt>
          <c:dPt>
            <c:idx val="2"/>
            <c:invertIfNegative val="0"/>
            <c:bubble3D val="0"/>
          </c:dPt>
          <c:dPt>
            <c:idx val="3"/>
            <c:invertIfNegative val="0"/>
            <c:bubble3D val="0"/>
          </c:dPt>
          <c:dPt>
            <c:idx val="4"/>
            <c:invertIfNegative val="0"/>
            <c:bubble3D val="0"/>
          </c:dPt>
          <c:dPt>
            <c:idx val="5"/>
            <c:invertIfNegative val="0"/>
            <c:bubble3D val="0"/>
          </c:dPt>
          <c:dPt>
            <c:idx val="6"/>
            <c:invertIfNegative val="0"/>
            <c:bubble3D val="0"/>
          </c:dPt>
          <c:dPt>
            <c:idx val="7"/>
            <c:invertIfNegative val="0"/>
            <c:bubble3D val="0"/>
          </c:dPt>
          <c:dPt>
            <c:idx val="8"/>
            <c:invertIfNegative val="0"/>
            <c:bubble3D val="0"/>
          </c:dPt>
          <c:dPt>
            <c:idx val="9"/>
            <c:invertIfNegative val="0"/>
            <c:bubble3D val="0"/>
          </c:dPt>
          <c:dPt>
            <c:idx val="10"/>
            <c:invertIfNegative val="0"/>
            <c:bubble3D val="0"/>
          </c:dPt>
          <c:dPt>
            <c:idx val="11"/>
            <c:invertIfNegative val="0"/>
            <c:bubble3D val="0"/>
          </c:dPt>
          <c:dPt>
            <c:idx val="12"/>
            <c:invertIfNegative val="0"/>
            <c:bubble3D val="0"/>
          </c:dPt>
          <c:dPt>
            <c:idx val="13"/>
            <c:invertIfNegative val="0"/>
            <c:bubble3D val="0"/>
          </c:dPt>
          <c:dPt>
            <c:idx val="14"/>
            <c:invertIfNegative val="0"/>
            <c:bubble3D val="0"/>
          </c:dPt>
          <c:dPt>
            <c:idx val="15"/>
            <c:invertIfNegative val="0"/>
            <c:bubble3D val="0"/>
          </c:dPt>
          <c:dPt>
            <c:idx val="16"/>
            <c:invertIfNegative val="0"/>
            <c:bubble3D val="0"/>
          </c:dPt>
          <c:dPt>
            <c:idx val="17"/>
            <c:invertIfNegative val="0"/>
            <c:bubble3D val="0"/>
          </c:dPt>
          <c:dPt>
            <c:idx val="18"/>
            <c:invertIfNegative val="0"/>
            <c:bubble3D val="0"/>
          </c:dPt>
          <c:dPt>
            <c:idx val="19"/>
            <c:invertIfNegative val="0"/>
            <c:bubble3D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Sheet1!$A$2:$A$21</c:f>
              <c:strCache>
                <c:ptCount val="20"/>
                <c:pt idx="0">
                  <c:v>大学生公民素质教育</c:v>
                </c:pt>
                <c:pt idx="1">
                  <c:v>形势与政策（2018年春）</c:v>
                </c:pt>
                <c:pt idx="2">
                  <c:v>大学生安全教育（新版）</c:v>
                </c:pt>
                <c:pt idx="3">
                  <c:v>军事理论（南开版）</c:v>
                </c:pt>
                <c:pt idx="4">
                  <c:v>大学生创业基础</c:v>
                </c:pt>
                <c:pt idx="5">
                  <c:v>《孙子兵法》与执政艺术</c:v>
                </c:pt>
                <c:pt idx="6">
                  <c:v>有效沟通技巧</c:v>
                </c:pt>
                <c:pt idx="7">
                  <c:v>口才艺术与社交礼仪</c:v>
                </c:pt>
                <c:pt idx="8">
                  <c:v>突发事件及自救互救</c:v>
                </c:pt>
                <c:pt idx="9">
                  <c:v>生命安全与救援</c:v>
                </c:pt>
                <c:pt idx="10">
                  <c:v>创新思维训练</c:v>
                </c:pt>
                <c:pt idx="11">
                  <c:v>创新创业</c:v>
                </c:pt>
                <c:pt idx="12">
                  <c:v>情绪管理</c:v>
                </c:pt>
                <c:pt idx="13">
                  <c:v>如何高效学习</c:v>
                </c:pt>
                <c:pt idx="14">
                  <c:v>中华诗词之美</c:v>
                </c:pt>
                <c:pt idx="15">
                  <c:v>中国文化概论</c:v>
                </c:pt>
                <c:pt idx="16">
                  <c:v>法律基础</c:v>
                </c:pt>
                <c:pt idx="17">
                  <c:v>大学生恋爱与性健康</c:v>
                </c:pt>
                <c:pt idx="18">
                  <c:v>时间管理</c:v>
                </c:pt>
                <c:pt idx="19">
                  <c:v>公共关系礼仪实务</c:v>
                </c:pt>
              </c:strCache>
            </c:strRef>
          </c:cat>
          <c:val>
            <c:numRef>
              <c:f>Sheet1!$B$2:$B$21</c:f>
              <c:numCache>
                <c:formatCode>General</c:formatCode>
                <c:ptCount val="20"/>
                <c:pt idx="0">
                  <c:v>3233</c:v>
                </c:pt>
                <c:pt idx="1">
                  <c:v>2331</c:v>
                </c:pt>
                <c:pt idx="2">
                  <c:v>2188</c:v>
                </c:pt>
                <c:pt idx="3">
                  <c:v>1868</c:v>
                </c:pt>
                <c:pt idx="4">
                  <c:v>1855</c:v>
                </c:pt>
                <c:pt idx="5">
                  <c:v>969</c:v>
                </c:pt>
                <c:pt idx="6">
                  <c:v>513</c:v>
                </c:pt>
                <c:pt idx="7">
                  <c:v>443</c:v>
                </c:pt>
                <c:pt idx="8">
                  <c:v>418</c:v>
                </c:pt>
                <c:pt idx="9">
                  <c:v>392</c:v>
                </c:pt>
                <c:pt idx="10">
                  <c:v>365</c:v>
                </c:pt>
                <c:pt idx="11">
                  <c:v>235</c:v>
                </c:pt>
                <c:pt idx="12">
                  <c:v>235</c:v>
                </c:pt>
                <c:pt idx="13">
                  <c:v>220</c:v>
                </c:pt>
                <c:pt idx="14">
                  <c:v>189</c:v>
                </c:pt>
                <c:pt idx="15">
                  <c:v>167</c:v>
                </c:pt>
                <c:pt idx="16">
                  <c:v>122</c:v>
                </c:pt>
                <c:pt idx="17">
                  <c:v>117</c:v>
                </c:pt>
                <c:pt idx="18">
                  <c:v>114</c:v>
                </c:pt>
                <c:pt idx="19">
                  <c:v>110</c:v>
                </c:pt>
              </c:numCache>
            </c:numRef>
          </c:val>
        </c:ser>
        <c:dLbls>
          <c:showLegendKey val="0"/>
          <c:showVal val="1"/>
          <c:showCatName val="0"/>
          <c:showSerName val="0"/>
          <c:showPercent val="0"/>
          <c:showBubbleSize val="0"/>
        </c:dLbls>
        <c:gapWidth val="75"/>
        <c:axId val="140588544"/>
        <c:axId val="140590080"/>
      </c:barChart>
      <c:catAx>
        <c:axId val="140588544"/>
        <c:scaling>
          <c:orientation val="maxMin"/>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140590080"/>
        <c:crosses val="autoZero"/>
        <c:auto val="1"/>
        <c:lblAlgn val="ctr"/>
        <c:lblOffset val="100"/>
        <c:noMultiLvlLbl val="0"/>
      </c:catAx>
      <c:valAx>
        <c:axId val="140590080"/>
        <c:scaling>
          <c:orientation val="minMax"/>
        </c:scaling>
        <c:delete val="0"/>
        <c:axPos val="t"/>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588544"/>
        <c:crosses val="autoZero"/>
        <c:crossBetween val="between"/>
      </c:valAx>
    </c:plotArea>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0"/>
        <c:ser>
          <c:idx val="0"/>
          <c:order val="0"/>
          <c:tx>
            <c:strRef>
              <c:f>Sheet1!$B$1</c:f>
              <c:strCache>
                <c:ptCount val="1"/>
                <c:pt idx="0">
                  <c:v>选课人次</c:v>
                </c:pt>
              </c:strCache>
            </c:strRef>
          </c:tx>
          <c:invertIfNegative val="0"/>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Sheet1!$A$2:$A$11</c:f>
              <c:strCache>
                <c:ptCount val="10"/>
                <c:pt idx="0">
                  <c:v>文明起源与历史演变</c:v>
                </c:pt>
                <c:pt idx="1">
                  <c:v>科学发现与技术革新</c:v>
                </c:pt>
                <c:pt idx="2">
                  <c:v>人类思想与自我认知</c:v>
                </c:pt>
                <c:pt idx="3">
                  <c:v>经济活动与社会管理</c:v>
                </c:pt>
                <c:pt idx="4">
                  <c:v>文学修养与艺术鉴赏</c:v>
                </c:pt>
                <c:pt idx="5">
                  <c:v>国学经典与文化传承</c:v>
                </c:pt>
                <c:pt idx="6">
                  <c:v>创新创业</c:v>
                </c:pt>
                <c:pt idx="7">
                  <c:v>通用能力</c:v>
                </c:pt>
                <c:pt idx="8">
                  <c:v>公共必修</c:v>
                </c:pt>
                <c:pt idx="9">
                  <c:v>成长基础</c:v>
                </c:pt>
              </c:strCache>
            </c:strRef>
          </c:cat>
          <c:val>
            <c:numRef>
              <c:f>Sheet1!$B$2:$B$11</c:f>
              <c:numCache>
                <c:formatCode>General</c:formatCode>
                <c:ptCount val="10"/>
                <c:pt idx="0">
                  <c:v>93</c:v>
                </c:pt>
                <c:pt idx="1">
                  <c:v>103</c:v>
                </c:pt>
                <c:pt idx="2">
                  <c:v>144</c:v>
                </c:pt>
                <c:pt idx="3">
                  <c:v>284</c:v>
                </c:pt>
                <c:pt idx="4">
                  <c:v>422</c:v>
                </c:pt>
                <c:pt idx="5">
                  <c:v>1227</c:v>
                </c:pt>
                <c:pt idx="6">
                  <c:v>2496</c:v>
                </c:pt>
                <c:pt idx="7">
                  <c:v>2781</c:v>
                </c:pt>
                <c:pt idx="8">
                  <c:v>4199</c:v>
                </c:pt>
                <c:pt idx="9">
                  <c:v>5550</c:v>
                </c:pt>
              </c:numCache>
            </c:numRef>
          </c:val>
        </c:ser>
        <c:dLbls>
          <c:showLegendKey val="0"/>
          <c:showVal val="1"/>
          <c:showCatName val="0"/>
          <c:showSerName val="0"/>
          <c:showPercent val="0"/>
          <c:showBubbleSize val="0"/>
        </c:dLbls>
        <c:gapWidth val="75"/>
        <c:axId val="138294016"/>
        <c:axId val="88374272"/>
      </c:barChart>
      <c:catAx>
        <c:axId val="138294016"/>
        <c:scaling>
          <c:orientation val="minMax"/>
        </c:scaling>
        <c:delete val="0"/>
        <c:axPos val="l"/>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88374272"/>
        <c:crosses val="autoZero"/>
        <c:auto val="1"/>
        <c:lblAlgn val="ctr"/>
        <c:lblOffset val="100"/>
        <c:noMultiLvlLbl val="0"/>
      </c:catAx>
      <c:valAx>
        <c:axId val="88374272"/>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38294016"/>
        <c:crosses val="autoZero"/>
        <c:crossBetween val="between"/>
      </c:valAx>
    </c:plotArea>
    <c:plotVisOnly val="1"/>
    <c:dispBlanksAs val="zero"/>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col"/>
        <c:grouping val="clustered"/>
        <c:varyColors val="0"/>
        <c:ser>
          <c:idx val="0"/>
          <c:order val="0"/>
          <c:tx>
            <c:strRef>
              <c:f>Sheet1!$B$1</c:f>
              <c:strCache>
                <c:ptCount val="1"/>
                <c:pt idx="0">
                  <c:v>河南交通职业技术学院成绩</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通过率</c:v>
                </c:pt>
                <c:pt idx="1">
                  <c:v>优秀率</c:v>
                </c:pt>
              </c:strCache>
            </c:strRef>
          </c:cat>
          <c:val>
            <c:numRef>
              <c:f>Sheet1!$B$2:$B$3</c:f>
              <c:numCache>
                <c:formatCode>0.00%</c:formatCode>
                <c:ptCount val="2"/>
                <c:pt idx="0">
                  <c:v>0.9194</c:v>
                </c:pt>
                <c:pt idx="1">
                  <c:v>0.7399</c:v>
                </c:pt>
              </c:numCache>
            </c:numRef>
          </c:val>
        </c:ser>
        <c:ser>
          <c:idx val="1"/>
          <c:order val="1"/>
          <c:tx>
            <c:strRef>
              <c:f>Sheet1!$C$1</c:f>
              <c:strCache>
                <c:ptCount val="1"/>
                <c:pt idx="0">
                  <c:v>全国高校抽样的平均成绩</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Sheet1!$A$2:$A$3</c:f>
              <c:strCache>
                <c:ptCount val="2"/>
                <c:pt idx="0">
                  <c:v>通过率</c:v>
                </c:pt>
                <c:pt idx="1">
                  <c:v>优秀率</c:v>
                </c:pt>
              </c:strCache>
            </c:strRef>
          </c:cat>
          <c:val>
            <c:numRef>
              <c:f>Sheet1!$C$2:$C$3</c:f>
              <c:numCache>
                <c:formatCode>0.00%</c:formatCode>
                <c:ptCount val="2"/>
                <c:pt idx="0">
                  <c:v>0.8756</c:v>
                </c:pt>
                <c:pt idx="1">
                  <c:v>0.6242</c:v>
                </c:pt>
              </c:numCache>
            </c:numRef>
          </c:val>
        </c:ser>
        <c:dLbls>
          <c:showLegendKey val="0"/>
          <c:showVal val="0"/>
          <c:showCatName val="0"/>
          <c:showSerName val="0"/>
          <c:showPercent val="0"/>
          <c:showBubbleSize val="0"/>
        </c:dLbls>
        <c:gapWidth val="150"/>
        <c:axId val="140662272"/>
        <c:axId val="140663808"/>
      </c:barChart>
      <c:catAx>
        <c:axId val="140662272"/>
        <c:scaling>
          <c:orientation val="minMax"/>
        </c:scaling>
        <c:delete val="0"/>
        <c:axPos val="b"/>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140663808"/>
        <c:crosses val="autoZero"/>
        <c:auto val="1"/>
        <c:lblAlgn val="ctr"/>
        <c:lblOffset val="100"/>
        <c:noMultiLvlLbl val="0"/>
      </c:catAx>
      <c:valAx>
        <c:axId val="140663808"/>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662272"/>
        <c:crosses val="autoZero"/>
        <c:crossBetween val="between"/>
      </c:valAx>
    </c:plotArea>
    <c:legend>
      <c:legendPos val="r"/>
      <c:layout/>
      <c:overlay val="0"/>
      <c:txPr>
        <a:bodyPr rot="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bar"/>
        <c:grouping val="clustered"/>
        <c:varyColors val="0"/>
        <c:ser>
          <c:idx val="0"/>
          <c:order val="0"/>
          <c:tx>
            <c:strRef>
              <c:f>Sheet1!$B$1</c:f>
              <c:strCache>
                <c:ptCount val="1"/>
                <c:pt idx="0">
                  <c:v>人数</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Sheet1!$A$2:$A$11</c:f>
              <c:strCache>
                <c:ptCount val="10"/>
                <c:pt idx="0">
                  <c:v>0-10分</c:v>
                </c:pt>
                <c:pt idx="1">
                  <c:v>10-20分</c:v>
                </c:pt>
                <c:pt idx="2">
                  <c:v>20-30分</c:v>
                </c:pt>
                <c:pt idx="3">
                  <c:v>30-40分</c:v>
                </c:pt>
                <c:pt idx="4">
                  <c:v>40-50分</c:v>
                </c:pt>
                <c:pt idx="5">
                  <c:v>50-60分</c:v>
                </c:pt>
                <c:pt idx="6">
                  <c:v>60-70分</c:v>
                </c:pt>
                <c:pt idx="7">
                  <c:v>70-80分</c:v>
                </c:pt>
                <c:pt idx="8">
                  <c:v>80-90分</c:v>
                </c:pt>
                <c:pt idx="9">
                  <c:v>90-100分</c:v>
                </c:pt>
              </c:strCache>
            </c:strRef>
          </c:cat>
          <c:val>
            <c:numRef>
              <c:f>Sheet1!$B$2:$B$11</c:f>
              <c:numCache>
                <c:formatCode>General</c:formatCode>
                <c:ptCount val="10"/>
                <c:pt idx="0">
                  <c:v>1059</c:v>
                </c:pt>
                <c:pt idx="1">
                  <c:v>102</c:v>
                </c:pt>
                <c:pt idx="2">
                  <c:v>68</c:v>
                </c:pt>
                <c:pt idx="3">
                  <c:v>67</c:v>
                </c:pt>
                <c:pt idx="4">
                  <c:v>225</c:v>
                </c:pt>
                <c:pt idx="5">
                  <c:v>701</c:v>
                </c:pt>
                <c:pt idx="6">
                  <c:v>205</c:v>
                </c:pt>
                <c:pt idx="7">
                  <c:v>471</c:v>
                </c:pt>
                <c:pt idx="8">
                  <c:v>2267</c:v>
                </c:pt>
                <c:pt idx="9">
                  <c:v>12134</c:v>
                </c:pt>
              </c:numCache>
            </c:numRef>
          </c:val>
        </c:ser>
        <c:dLbls>
          <c:showLegendKey val="0"/>
          <c:showVal val="0"/>
          <c:showCatName val="0"/>
          <c:showSerName val="0"/>
          <c:showPercent val="0"/>
          <c:showBubbleSize val="0"/>
        </c:dLbls>
        <c:gapWidth val="100"/>
        <c:axId val="140677888"/>
        <c:axId val="140676096"/>
      </c:barChart>
      <c:catAx>
        <c:axId val="140677888"/>
        <c:scaling>
          <c:orientation val="minMax"/>
        </c:scaling>
        <c:delete val="0"/>
        <c:axPos val="l"/>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676096"/>
        <c:crosses val="autoZero"/>
        <c:auto val="1"/>
        <c:lblAlgn val="ctr"/>
        <c:lblOffset val="100"/>
        <c:noMultiLvlLbl val="0"/>
      </c:catAx>
      <c:valAx>
        <c:axId val="14067609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677888"/>
        <c:crosses val="autoZero"/>
        <c:crossBetween val="between"/>
      </c:valAx>
    </c:plotArea>
    <c:legend>
      <c:legendPos val="r"/>
      <c:layout/>
      <c:overlay val="0"/>
      <c:txPr>
        <a:bodyPr rot="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通过率</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delete val="1"/>
          </c:dLbls>
          <c:cat>
            <c:strRef>
              <c:f>Sheet1!$A$2:$A$21</c:f>
              <c:strCache>
                <c:ptCount val="20"/>
                <c:pt idx="0">
                  <c:v>大学生公民素质教育</c:v>
                </c:pt>
                <c:pt idx="1">
                  <c:v>形势与政策（2018年春）</c:v>
                </c:pt>
                <c:pt idx="2">
                  <c:v>大学生安全教育（新版）</c:v>
                </c:pt>
                <c:pt idx="3">
                  <c:v>军事理论（南开版）</c:v>
                </c:pt>
                <c:pt idx="4">
                  <c:v>大学生创业基础</c:v>
                </c:pt>
                <c:pt idx="5">
                  <c:v>《孙子兵法》与执政艺术</c:v>
                </c:pt>
                <c:pt idx="6">
                  <c:v>有效沟通技巧</c:v>
                </c:pt>
                <c:pt idx="7">
                  <c:v>口才艺术与社交礼仪</c:v>
                </c:pt>
                <c:pt idx="8">
                  <c:v>突发事件及自救互救</c:v>
                </c:pt>
                <c:pt idx="9">
                  <c:v>生命安全与救援</c:v>
                </c:pt>
                <c:pt idx="10">
                  <c:v>创新思维训练</c:v>
                </c:pt>
                <c:pt idx="11">
                  <c:v>创新创业</c:v>
                </c:pt>
                <c:pt idx="12">
                  <c:v>情绪管理</c:v>
                </c:pt>
                <c:pt idx="13">
                  <c:v>如何高效学习</c:v>
                </c:pt>
                <c:pt idx="14">
                  <c:v>中华诗词之美</c:v>
                </c:pt>
                <c:pt idx="15">
                  <c:v>中国文化概论</c:v>
                </c:pt>
                <c:pt idx="16">
                  <c:v>法律基础</c:v>
                </c:pt>
                <c:pt idx="17">
                  <c:v>大学生恋爱与性健康</c:v>
                </c:pt>
                <c:pt idx="18">
                  <c:v>时间管理</c:v>
                </c:pt>
                <c:pt idx="19">
                  <c:v>公共关系礼仪实务</c:v>
                </c:pt>
              </c:strCache>
            </c:strRef>
          </c:cat>
          <c:val>
            <c:numRef>
              <c:f>Sheet1!$B$2:$B$21</c:f>
              <c:numCache>
                <c:formatCode>0.00%</c:formatCode>
                <c:ptCount val="20"/>
                <c:pt idx="0">
                  <c:v>0.94361261548264</c:v>
                </c:pt>
                <c:pt idx="1">
                  <c:v>0.94349775784753</c:v>
                </c:pt>
                <c:pt idx="2">
                  <c:v>0.93360572012257</c:v>
                </c:pt>
                <c:pt idx="3">
                  <c:v>0.95111111111111</c:v>
                </c:pt>
                <c:pt idx="4">
                  <c:v>0.94166666666667</c:v>
                </c:pt>
                <c:pt idx="5">
                  <c:v>0.90128755364807</c:v>
                </c:pt>
                <c:pt idx="6">
                  <c:v>0.89094650205761</c:v>
                </c:pt>
                <c:pt idx="7">
                  <c:v>0.86486486486487</c:v>
                </c:pt>
                <c:pt idx="8">
                  <c:v>0.90428211586902</c:v>
                </c:pt>
                <c:pt idx="9">
                  <c:v>0.9281914893617</c:v>
                </c:pt>
                <c:pt idx="10">
                  <c:v>0.84615384615385</c:v>
                </c:pt>
                <c:pt idx="11">
                  <c:v>0.86338797814208</c:v>
                </c:pt>
                <c:pt idx="12">
                  <c:v>0.95196506550218</c:v>
                </c:pt>
                <c:pt idx="13">
                  <c:v>0.90232558139535</c:v>
                </c:pt>
                <c:pt idx="14">
                  <c:v>0.80337078651685</c:v>
                </c:pt>
                <c:pt idx="15">
                  <c:v>0.82352941176471</c:v>
                </c:pt>
                <c:pt idx="16">
                  <c:v>0.89655172413793</c:v>
                </c:pt>
                <c:pt idx="17">
                  <c:v>0.80733944954128</c:v>
                </c:pt>
                <c:pt idx="18">
                  <c:v>0.8785046728972</c:v>
                </c:pt>
                <c:pt idx="19">
                  <c:v>0.85148514851485</c:v>
                </c:pt>
              </c:numCache>
            </c:numRef>
          </c:val>
          <c:smooth val="0"/>
        </c:ser>
        <c:ser>
          <c:idx val="1"/>
          <c:order val="1"/>
          <c:tx>
            <c:strRef>
              <c:f>Sheet1!$C$1</c:f>
              <c:strCache>
                <c:ptCount val="1"/>
                <c:pt idx="0">
                  <c:v>优秀率</c:v>
                </c:pt>
              </c:strCache>
            </c:strRef>
          </c:tx>
          <c:spPr>
            <a:ln w="19050" cap="rnd" cmpd="sng" algn="ctr">
              <a:solidFill>
                <a:schemeClr val="accent2">
                  <a:shade val="95000"/>
                  <a:satMod val="105000"/>
                </a:schemeClr>
              </a:solidFill>
              <a:prstDash val="solid"/>
              <a:round/>
            </a:ln>
          </c:spPr>
          <c:marker>
            <c:spPr>
              <a:ln w="19050" cap="flat" cmpd="sng" algn="ctr">
                <a:solidFill>
                  <a:schemeClr val="accent2">
                    <a:shade val="95000"/>
                    <a:satMod val="105000"/>
                  </a:schemeClr>
                </a:solidFill>
                <a:prstDash val="solid"/>
                <a:round/>
              </a:ln>
            </c:spPr>
          </c:marker>
          <c:dLbls>
            <c:delete val="1"/>
          </c:dLbls>
          <c:cat>
            <c:strRef>
              <c:f>Sheet1!$A$2:$A$21</c:f>
              <c:strCache>
                <c:ptCount val="20"/>
                <c:pt idx="0">
                  <c:v>大学生公民素质教育</c:v>
                </c:pt>
                <c:pt idx="1">
                  <c:v>形势与政策（2018年春）</c:v>
                </c:pt>
                <c:pt idx="2">
                  <c:v>大学生安全教育（新版）</c:v>
                </c:pt>
                <c:pt idx="3">
                  <c:v>军事理论（南开版）</c:v>
                </c:pt>
                <c:pt idx="4">
                  <c:v>大学生创业基础</c:v>
                </c:pt>
                <c:pt idx="5">
                  <c:v>《孙子兵法》与执政艺术</c:v>
                </c:pt>
                <c:pt idx="6">
                  <c:v>有效沟通技巧</c:v>
                </c:pt>
                <c:pt idx="7">
                  <c:v>口才艺术与社交礼仪</c:v>
                </c:pt>
                <c:pt idx="8">
                  <c:v>突发事件及自救互救</c:v>
                </c:pt>
                <c:pt idx="9">
                  <c:v>生命安全与救援</c:v>
                </c:pt>
                <c:pt idx="10">
                  <c:v>创新思维训练</c:v>
                </c:pt>
                <c:pt idx="11">
                  <c:v>创新创业</c:v>
                </c:pt>
                <c:pt idx="12">
                  <c:v>情绪管理</c:v>
                </c:pt>
                <c:pt idx="13">
                  <c:v>如何高效学习</c:v>
                </c:pt>
                <c:pt idx="14">
                  <c:v>中华诗词之美</c:v>
                </c:pt>
                <c:pt idx="15">
                  <c:v>中国文化概论</c:v>
                </c:pt>
                <c:pt idx="16">
                  <c:v>法律基础</c:v>
                </c:pt>
                <c:pt idx="17">
                  <c:v>大学生恋爱与性健康</c:v>
                </c:pt>
                <c:pt idx="18">
                  <c:v>时间管理</c:v>
                </c:pt>
                <c:pt idx="19">
                  <c:v>公共关系礼仪实务</c:v>
                </c:pt>
              </c:strCache>
            </c:strRef>
          </c:cat>
          <c:val>
            <c:numRef>
              <c:f>Sheet1!$C$2:$C$21</c:f>
              <c:numCache>
                <c:formatCode>0.00%</c:formatCode>
                <c:ptCount val="20"/>
                <c:pt idx="0">
                  <c:v>0.77222045237337</c:v>
                </c:pt>
                <c:pt idx="1">
                  <c:v>0.80224215246637</c:v>
                </c:pt>
                <c:pt idx="2">
                  <c:v>0.77170582226762</c:v>
                </c:pt>
                <c:pt idx="3">
                  <c:v>0.80833333333333</c:v>
                </c:pt>
                <c:pt idx="4">
                  <c:v>0.77777777777778</c:v>
                </c:pt>
                <c:pt idx="5">
                  <c:v>0.65450643776824</c:v>
                </c:pt>
                <c:pt idx="6">
                  <c:v>0.60699588477366</c:v>
                </c:pt>
                <c:pt idx="7">
                  <c:v>0.7002457002457</c:v>
                </c:pt>
                <c:pt idx="8">
                  <c:v>0.68765743073048</c:v>
                </c:pt>
                <c:pt idx="9">
                  <c:v>0.77659574468085</c:v>
                </c:pt>
                <c:pt idx="10">
                  <c:v>0.65811965811966</c:v>
                </c:pt>
                <c:pt idx="11">
                  <c:v>0.7103825136612</c:v>
                </c:pt>
                <c:pt idx="12">
                  <c:v>0.68122270742358</c:v>
                </c:pt>
                <c:pt idx="13">
                  <c:v>0.61395348837209</c:v>
                </c:pt>
                <c:pt idx="14">
                  <c:v>0.61797752808989</c:v>
                </c:pt>
                <c:pt idx="15">
                  <c:v>0.6078431372549</c:v>
                </c:pt>
                <c:pt idx="16">
                  <c:v>0.66379310344828</c:v>
                </c:pt>
                <c:pt idx="17">
                  <c:v>0.55963302752294</c:v>
                </c:pt>
                <c:pt idx="18">
                  <c:v>0.74766355140187</c:v>
                </c:pt>
                <c:pt idx="19">
                  <c:v>0.65346534653465</c:v>
                </c:pt>
              </c:numCache>
            </c:numRef>
          </c:val>
          <c:smooth val="0"/>
        </c:ser>
        <c:dLbls>
          <c:showLegendKey val="0"/>
          <c:showVal val="0"/>
          <c:showCatName val="0"/>
          <c:showSerName val="0"/>
          <c:showPercent val="0"/>
          <c:showBubbleSize val="0"/>
        </c:dLbls>
        <c:marker val="1"/>
        <c:smooth val="0"/>
        <c:axId val="140731136"/>
        <c:axId val="140733056"/>
      </c:lineChart>
      <c:catAx>
        <c:axId val="140731136"/>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140733056"/>
        <c:crosses val="autoZero"/>
        <c:auto val="1"/>
        <c:lblAlgn val="ctr"/>
        <c:lblOffset val="100"/>
        <c:noMultiLvlLbl val="0"/>
      </c:catAx>
      <c:valAx>
        <c:axId val="140733056"/>
        <c:scaling>
          <c:orientation val="minMax"/>
        </c:scaling>
        <c:delete val="0"/>
        <c:axPos val="l"/>
        <c:numFmt formatCode="0.00%"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731136"/>
        <c:crosses val="autoZero"/>
        <c:crossBetween val="between"/>
      </c:valAx>
    </c:plotArea>
    <c:legend>
      <c:legendPos val="b"/>
      <c:layout>
        <c:manualLayout>
          <c:xMode val="edge"/>
          <c:yMode val="edge"/>
          <c:x val="0.325608227542986"/>
          <c:y val="0.8793791776028"/>
          <c:w val="0.321055721368844"/>
          <c:h val="0.0933977252843395"/>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zero"/>
    <c:showDLblsOverMax val="0"/>
  </c:chart>
  <c:spPr>
    <a:ln w="9525" cap="flat" cmpd="sng" algn="ctr">
      <a:solidFill>
        <a:schemeClr val="tx1"/>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col"/>
        <c:grouping val="clustered"/>
        <c:varyColors val="0"/>
        <c:ser>
          <c:idx val="0"/>
          <c:order val="0"/>
          <c:tx>
            <c:strRef>
              <c:f>Sheet1!$B$1</c:f>
              <c:strCache>
                <c:ptCount val="1"/>
                <c:pt idx="0">
                  <c:v>课程数</c:v>
                </c:pt>
              </c:strCache>
            </c:strRef>
          </c:tx>
          <c:invertIfNegative val="0"/>
          <c:dLbls>
            <c:delete val="1"/>
          </c:dLbls>
          <c:cat>
            <c:strRef>
              <c:f>Sheet1!$A$2:$A$4</c:f>
              <c:strCache>
                <c:ptCount val="3"/>
                <c:pt idx="0">
                  <c:v>60-70分</c:v>
                </c:pt>
                <c:pt idx="1">
                  <c:v>80-90分</c:v>
                </c:pt>
                <c:pt idx="2">
                  <c:v>90-100分</c:v>
                </c:pt>
              </c:strCache>
            </c:strRef>
          </c:cat>
          <c:val>
            <c:numRef>
              <c:f>Sheet1!$B$2:$B$4</c:f>
              <c:numCache>
                <c:formatCode>General</c:formatCode>
                <c:ptCount val="3"/>
                <c:pt idx="0">
                  <c:v>1</c:v>
                </c:pt>
                <c:pt idx="1">
                  <c:v>8</c:v>
                </c:pt>
                <c:pt idx="2">
                  <c:v>61</c:v>
                </c:pt>
              </c:numCache>
            </c:numRef>
          </c:val>
        </c:ser>
        <c:dLbls>
          <c:showLegendKey val="0"/>
          <c:showVal val="0"/>
          <c:showCatName val="0"/>
          <c:showSerName val="0"/>
          <c:showPercent val="0"/>
          <c:showBubbleSize val="0"/>
        </c:dLbls>
        <c:gapWidth val="150"/>
        <c:axId val="140744960"/>
        <c:axId val="140750848"/>
      </c:barChart>
      <c:catAx>
        <c:axId val="14074496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750848"/>
        <c:crosses val="autoZero"/>
        <c:auto val="1"/>
        <c:lblAlgn val="ctr"/>
        <c:lblOffset val="100"/>
        <c:noMultiLvlLbl val="0"/>
      </c:catAx>
      <c:valAx>
        <c:axId val="14075084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74496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通过率</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delete val="1"/>
          </c:dLbls>
          <c:cat>
            <c:strRef>
              <c:f>Sheet1!$A$2:$A$10</c:f>
              <c:strCache>
                <c:ptCount val="9"/>
                <c:pt idx="0">
                  <c:v>汽车学院</c:v>
                </c:pt>
                <c:pt idx="1">
                  <c:v>物流学院</c:v>
                </c:pt>
                <c:pt idx="2">
                  <c:v>公路学院</c:v>
                </c:pt>
                <c:pt idx="3">
                  <c:v>交通信息工程系</c:v>
                </c:pt>
                <c:pt idx="4">
                  <c:v>建筑工程系</c:v>
                </c:pt>
                <c:pt idx="5">
                  <c:v>轨道交通学院</c:v>
                </c:pt>
                <c:pt idx="6">
                  <c:v>商务旅游系</c:v>
                </c:pt>
                <c:pt idx="7">
                  <c:v>航运海事系</c:v>
                </c:pt>
                <c:pt idx="8">
                  <c:v>其他院系</c:v>
                </c:pt>
              </c:strCache>
            </c:strRef>
          </c:cat>
          <c:val>
            <c:numRef>
              <c:f>Sheet1!$B$2:$B$10</c:f>
              <c:numCache>
                <c:formatCode>0.00%</c:formatCode>
                <c:ptCount val="9"/>
                <c:pt idx="0">
                  <c:v>0.93658126837463</c:v>
                </c:pt>
                <c:pt idx="1">
                  <c:v>0.93646408839779</c:v>
                </c:pt>
                <c:pt idx="2">
                  <c:v>0.91990090834021</c:v>
                </c:pt>
                <c:pt idx="3">
                  <c:v>0.85331576635924</c:v>
                </c:pt>
                <c:pt idx="4">
                  <c:v>0.91620421753607</c:v>
                </c:pt>
                <c:pt idx="5">
                  <c:v>0.93762993762994</c:v>
                </c:pt>
                <c:pt idx="6">
                  <c:v>0.97094801223242</c:v>
                </c:pt>
                <c:pt idx="7">
                  <c:v>0.87689713322091</c:v>
                </c:pt>
                <c:pt idx="8">
                  <c:v>0.83870967741935</c:v>
                </c:pt>
              </c:numCache>
            </c:numRef>
          </c:val>
          <c:smooth val="0"/>
        </c:ser>
        <c:ser>
          <c:idx val="1"/>
          <c:order val="1"/>
          <c:tx>
            <c:strRef>
              <c:f>Sheet1!$C$1</c:f>
              <c:strCache>
                <c:ptCount val="1"/>
                <c:pt idx="0">
                  <c:v>优秀率</c:v>
                </c:pt>
              </c:strCache>
            </c:strRef>
          </c:tx>
          <c:spPr>
            <a:ln w="19050" cap="rnd" cmpd="sng" algn="ctr">
              <a:solidFill>
                <a:schemeClr val="accent2">
                  <a:shade val="95000"/>
                  <a:satMod val="105000"/>
                </a:schemeClr>
              </a:solidFill>
              <a:prstDash val="solid"/>
              <a:round/>
            </a:ln>
          </c:spPr>
          <c:marker>
            <c:spPr>
              <a:ln w="19050" cap="flat" cmpd="sng" algn="ctr">
                <a:solidFill>
                  <a:schemeClr val="accent2">
                    <a:shade val="95000"/>
                    <a:satMod val="105000"/>
                  </a:schemeClr>
                </a:solidFill>
                <a:prstDash val="solid"/>
                <a:round/>
              </a:ln>
            </c:spPr>
          </c:marker>
          <c:dLbls>
            <c:delete val="1"/>
          </c:dLbls>
          <c:cat>
            <c:strRef>
              <c:f>Sheet1!$A$2:$A$10</c:f>
              <c:strCache>
                <c:ptCount val="9"/>
                <c:pt idx="0">
                  <c:v>汽车学院</c:v>
                </c:pt>
                <c:pt idx="1">
                  <c:v>物流学院</c:v>
                </c:pt>
                <c:pt idx="2">
                  <c:v>公路学院</c:v>
                </c:pt>
                <c:pt idx="3">
                  <c:v>交通信息工程系</c:v>
                </c:pt>
                <c:pt idx="4">
                  <c:v>建筑工程系</c:v>
                </c:pt>
                <c:pt idx="5">
                  <c:v>轨道交通学院</c:v>
                </c:pt>
                <c:pt idx="6">
                  <c:v>商务旅游系</c:v>
                </c:pt>
                <c:pt idx="7">
                  <c:v>航运海事系</c:v>
                </c:pt>
                <c:pt idx="8">
                  <c:v>其他院系</c:v>
                </c:pt>
              </c:strCache>
            </c:strRef>
          </c:cat>
          <c:val>
            <c:numRef>
              <c:f>Sheet1!$C$2:$C$10</c:f>
              <c:numCache>
                <c:formatCode>0.00%</c:formatCode>
                <c:ptCount val="9"/>
                <c:pt idx="0">
                  <c:v>0.73792524149517</c:v>
                </c:pt>
                <c:pt idx="1">
                  <c:v>0.74102209944751</c:v>
                </c:pt>
                <c:pt idx="2">
                  <c:v>0.71180842279108</c:v>
                </c:pt>
                <c:pt idx="3">
                  <c:v>0.71365832235397</c:v>
                </c:pt>
                <c:pt idx="4">
                  <c:v>0.77192008879023</c:v>
                </c:pt>
                <c:pt idx="5">
                  <c:v>0.7962577962578</c:v>
                </c:pt>
                <c:pt idx="6">
                  <c:v>0.85168195718654</c:v>
                </c:pt>
                <c:pt idx="7">
                  <c:v>0.65598650927487</c:v>
                </c:pt>
                <c:pt idx="8">
                  <c:v>0.70967741935484</c:v>
                </c:pt>
              </c:numCache>
            </c:numRef>
          </c:val>
          <c:smooth val="0"/>
        </c:ser>
        <c:dLbls>
          <c:showLegendKey val="0"/>
          <c:showVal val="0"/>
          <c:showCatName val="0"/>
          <c:showSerName val="0"/>
          <c:showPercent val="0"/>
          <c:showBubbleSize val="0"/>
        </c:dLbls>
        <c:marker val="1"/>
        <c:smooth val="0"/>
        <c:axId val="140865536"/>
        <c:axId val="140867456"/>
      </c:lineChart>
      <c:catAx>
        <c:axId val="140865536"/>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140867456"/>
        <c:crosses val="autoZero"/>
        <c:auto val="1"/>
        <c:lblAlgn val="ctr"/>
        <c:lblOffset val="100"/>
        <c:noMultiLvlLbl val="0"/>
      </c:catAx>
      <c:valAx>
        <c:axId val="140867456"/>
        <c:scaling>
          <c:orientation val="minMax"/>
        </c:scaling>
        <c:delete val="0"/>
        <c:axPos val="l"/>
        <c:majorGridlines/>
        <c:numFmt formatCode="0.00%"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865536"/>
        <c:crosses val="autoZero"/>
        <c:crossBetween val="between"/>
      </c:valAx>
    </c:plotArea>
    <c:legend>
      <c:legendPos val="r"/>
      <c:layout/>
      <c:overlay val="0"/>
      <c:txPr>
        <a:bodyPr rot="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lineChart>
        <c:grouping val="standard"/>
        <c:varyColors val="0"/>
        <c:ser>
          <c:idx val="0"/>
          <c:order val="0"/>
          <c:tx>
            <c:strRef>
              <c:f>Sheet1!$B$1</c:f>
              <c:strCache>
                <c:ptCount val="1"/>
                <c:pt idx="0">
                  <c:v>平均成绩（考试人）</c:v>
                </c:pt>
              </c:strCache>
            </c:strRef>
          </c:tx>
          <c:spPr>
            <a:ln w="19050" cap="rnd" cmpd="sng" algn="ctr">
              <a:solidFill>
                <a:schemeClr val="accent1">
                  <a:shade val="95000"/>
                  <a:satMod val="105000"/>
                </a:schemeClr>
              </a:solidFill>
              <a:prstDash val="solid"/>
              <a:round/>
            </a:ln>
          </c:spPr>
          <c:marker>
            <c:spPr>
              <a:ln w="19050" cap="flat" cmpd="sng" algn="ctr">
                <a:solidFill>
                  <a:schemeClr val="accent1">
                    <a:shade val="95000"/>
                    <a:satMod val="105000"/>
                  </a:schemeClr>
                </a:solidFill>
                <a:prstDash val="solid"/>
                <a:round/>
              </a:ln>
            </c:spPr>
          </c:marker>
          <c:dLbls>
            <c:delete val="1"/>
          </c:dLbls>
          <c:cat>
            <c:strRef>
              <c:f>Sheet1!$A$2:$A$10</c:f>
              <c:strCache>
                <c:ptCount val="9"/>
                <c:pt idx="0">
                  <c:v>汽车学院</c:v>
                </c:pt>
                <c:pt idx="1">
                  <c:v>物流学院</c:v>
                </c:pt>
                <c:pt idx="2">
                  <c:v>公路学院</c:v>
                </c:pt>
                <c:pt idx="3">
                  <c:v>交通信息工程系</c:v>
                </c:pt>
                <c:pt idx="4">
                  <c:v>建筑工程系</c:v>
                </c:pt>
                <c:pt idx="5">
                  <c:v>轨道交通学院</c:v>
                </c:pt>
                <c:pt idx="6">
                  <c:v>商务旅游系</c:v>
                </c:pt>
                <c:pt idx="7">
                  <c:v>航运海事系</c:v>
                </c:pt>
                <c:pt idx="8">
                  <c:v>其他院系</c:v>
                </c:pt>
              </c:strCache>
            </c:strRef>
          </c:cat>
          <c:val>
            <c:numRef>
              <c:f>Sheet1!$B$2:$B$10</c:f>
              <c:numCache>
                <c:formatCode>General</c:formatCode>
                <c:ptCount val="9"/>
                <c:pt idx="0">
                  <c:v>94.801699977543</c:v>
                </c:pt>
                <c:pt idx="1">
                  <c:v>94.615898668639</c:v>
                </c:pt>
                <c:pt idx="2">
                  <c:v>94.587794779478</c:v>
                </c:pt>
                <c:pt idx="3">
                  <c:v>95.894381904261</c:v>
                </c:pt>
                <c:pt idx="4">
                  <c:v>95.849184914842</c:v>
                </c:pt>
                <c:pt idx="5">
                  <c:v>95.780491620112</c:v>
                </c:pt>
                <c:pt idx="6">
                  <c:v>96.844714285714</c:v>
                </c:pt>
                <c:pt idx="7">
                  <c:v>93.541876208898</c:v>
                </c:pt>
                <c:pt idx="8">
                  <c:v>93.193846153846</c:v>
                </c:pt>
              </c:numCache>
            </c:numRef>
          </c:val>
          <c:smooth val="0"/>
        </c:ser>
        <c:dLbls>
          <c:showLegendKey val="0"/>
          <c:showVal val="0"/>
          <c:showCatName val="0"/>
          <c:showSerName val="0"/>
          <c:showPercent val="0"/>
          <c:showBubbleSize val="0"/>
        </c:dLbls>
        <c:marker val="1"/>
        <c:smooth val="0"/>
        <c:axId val="140875264"/>
        <c:axId val="140877184"/>
      </c:lineChart>
      <c:catAx>
        <c:axId val="140875264"/>
        <c:scaling>
          <c:orientation val="minMax"/>
        </c:scaling>
        <c:delete val="0"/>
        <c:axPos val="b"/>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solidFill>
                <a:latin typeface="+mn-lt"/>
                <a:ea typeface="+mn-ea"/>
                <a:cs typeface="+mn-cs"/>
              </a:defRPr>
            </a:pPr>
          </a:p>
        </c:txPr>
        <c:crossAx val="140877184"/>
        <c:crosses val="autoZero"/>
        <c:auto val="1"/>
        <c:lblAlgn val="ctr"/>
        <c:lblOffset val="100"/>
        <c:noMultiLvlLbl val="0"/>
      </c:catAx>
      <c:valAx>
        <c:axId val="140877184"/>
        <c:scaling>
          <c:orientation val="minMax"/>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140875264"/>
        <c:crosses val="autoZero"/>
        <c:crossBetween val="between"/>
      </c:valAx>
    </c:plotArea>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精装书">
      <a:dk1>
        <a:sysClr val="windowText" lastClr="000000"/>
      </a:dk1>
      <a:lt1>
        <a:sysClr val="window" lastClr="FFFFFF"/>
      </a:lt1>
      <a:dk2>
        <a:srgbClr val="895D1D"/>
      </a:dk2>
      <a:lt2>
        <a:srgbClr val="ECE9C6"/>
      </a:lt2>
      <a:accent1>
        <a:srgbClr val="873624"/>
      </a:accent1>
      <a:accent2>
        <a:srgbClr val="D6862D"/>
      </a:accent2>
      <a:accent3>
        <a:srgbClr val="D0BE40"/>
      </a:accent3>
      <a:accent4>
        <a:srgbClr val="877F6C"/>
      </a:accent4>
      <a:accent5>
        <a:srgbClr val="972109"/>
      </a:accent5>
      <a:accent6>
        <a:srgbClr val="AEB795"/>
      </a:accent6>
      <a:hlink>
        <a:srgbClr val="CC9900"/>
      </a:hlink>
      <a:folHlink>
        <a:srgbClr val="B2B2B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F6635-5725-428F-BBCE-39F5C5E0D1CD}">
  <ds:schemaRefs/>
</ds:datastoreItem>
</file>

<file path=docProps/app.xml><?xml version="1.0" encoding="utf-8"?>
<Properties xmlns="http://schemas.openxmlformats.org/officeDocument/2006/extended-properties" xmlns:vt="http://schemas.openxmlformats.org/officeDocument/2006/docPropsVTypes">
  <Template>Normal.dotm</Template>
  <Company>超星集团</Company>
  <Pages>42</Pages>
  <Words>2808</Words>
  <Characters>16012</Characters>
  <Lines>133</Lines>
  <Paragraphs>37</Paragraphs>
  <TotalTime>0</TotalTime>
  <ScaleCrop>false</ScaleCrop>
  <LinksUpToDate>false</LinksUpToDate>
  <CharactersWithSpaces>18783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2017-05-25T01:39:00Z</dcterms:created>
  <dc:creator>李新兵</dc:creator>
  <cp:lastModifiedBy> 忘了美丽。</cp:lastModifiedBy>
  <cp:lastPrinted>2017-05-24T07:20:00Z</cp:lastPrinted>
  <dcterms:modified xsi:type="dcterms:W3CDTF">2018-07-12T08:54:11Z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